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226A07" w14:paraId="76FC8326" w14:textId="77777777" w:rsidTr="00226A07">
        <w:trPr>
          <w:jc w:val="center"/>
        </w:trPr>
        <w:tc>
          <w:tcPr>
            <w:tcW w:w="9865" w:type="dxa"/>
            <w:shd w:val="clear" w:color="auto" w:fill="F7F9FC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1B2509FA" w14:textId="77777777" w:rsidR="00226A07" w:rsidRDefault="00226A07" w:rsidP="00226A07">
            <w:pPr>
              <w:spacing w:after="40" w:line="257" w:lineRule="auto"/>
              <w:jc w:val="both"/>
            </w:pPr>
            <w:r>
              <w:rPr>
                <w:b/>
                <w:sz w:val="24"/>
              </w:rPr>
              <w:t>НЕЙТРОННАЯ НАУКА: ВЛИЯНИЕ</w:t>
            </w:r>
          </w:p>
        </w:tc>
      </w:tr>
      <w:tr w:rsidR="00226A07" w14:paraId="15B4ADB1" w14:textId="77777777" w:rsidTr="00226A07">
        <w:trPr>
          <w:jc w:val="center"/>
        </w:trPr>
        <w:tc>
          <w:tcPr>
            <w:tcW w:w="9865" w:type="dxa"/>
            <w:shd w:val="clear" w:color="auto" w:fill="F7F9FC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4CCAA8A5" w14:textId="77777777" w:rsidR="00226A07" w:rsidRDefault="00226A07" w:rsidP="00226A07">
            <w:pPr>
              <w:spacing w:after="40" w:line="257" w:lineRule="auto"/>
              <w:jc w:val="both"/>
            </w:pPr>
            <w:proofErr w:type="spellStart"/>
            <w:r>
              <w:rPr>
                <w:b/>
                <w:sz w:val="21"/>
              </w:rPr>
              <w:t>Благодарность</w:t>
            </w:r>
            <w:proofErr w:type="spellEnd"/>
            <w:r>
              <w:rPr>
                <w:b/>
                <w:sz w:val="21"/>
              </w:rPr>
              <w:t xml:space="preserve"> / </w:t>
            </w:r>
            <w:proofErr w:type="spellStart"/>
            <w:r>
              <w:rPr>
                <w:b/>
                <w:sz w:val="21"/>
              </w:rPr>
              <w:t>Содержание</w:t>
            </w:r>
            <w:proofErr w:type="spellEnd"/>
            <w:r>
              <w:rPr>
                <w:b/>
                <w:sz w:val="21"/>
              </w:rPr>
              <w:t xml:space="preserve"> / </w:t>
            </w:r>
            <w:proofErr w:type="spellStart"/>
            <w:r>
              <w:rPr>
                <w:b/>
                <w:sz w:val="21"/>
              </w:rPr>
              <w:t>Свойства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нейтронов</w:t>
            </w:r>
            <w:proofErr w:type="spellEnd"/>
          </w:p>
        </w:tc>
      </w:tr>
      <w:tr w:rsidR="00226A07" w:rsidRPr="00226A07" w14:paraId="1B61ECDE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175406E4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Часть материалов этой брошюры адаптирована из первой главы документа </w:t>
            </w:r>
            <w:r>
              <w:t>LENS</w:t>
            </w:r>
            <w:r w:rsidRPr="00226A07">
              <w:rPr>
                <w:lang w:val="ru-RU"/>
              </w:rPr>
              <w:t xml:space="preserve"> “</w:t>
            </w:r>
            <w:r>
              <w:t>Neutron</w:t>
            </w:r>
            <w:r w:rsidRPr="00226A07">
              <w:rPr>
                <w:lang w:val="ru-RU"/>
              </w:rPr>
              <w:t xml:space="preserve"> </w:t>
            </w:r>
            <w:r>
              <w:t>Science</w:t>
            </w:r>
            <w:r w:rsidRPr="00226A07">
              <w:rPr>
                <w:lang w:val="ru-RU"/>
              </w:rPr>
              <w:t xml:space="preserve"> </w:t>
            </w:r>
            <w:r>
              <w:t>in</w:t>
            </w:r>
            <w:r w:rsidRPr="00226A07">
              <w:rPr>
                <w:lang w:val="ru-RU"/>
              </w:rPr>
              <w:t xml:space="preserve"> </w:t>
            </w:r>
            <w:r>
              <w:t>Europe</w:t>
            </w:r>
            <w:r w:rsidRPr="00226A07">
              <w:rPr>
                <w:lang w:val="ru-RU"/>
              </w:rPr>
              <w:t>”.</w:t>
            </w:r>
          </w:p>
          <w:p w14:paraId="0D990AF5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</w:p>
          <w:p w14:paraId="43462056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Содержание: нейтроны; здравоохранение; энергетика; окружающая среда и изменение климата; квантовые материалы; физика частиц.</w:t>
            </w:r>
          </w:p>
          <w:p w14:paraId="74535A15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</w:p>
          <w:p w14:paraId="3CB3C579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Свойства нейтронов: исследование структуры; высокая проникающая способность; неразрушающий характер; чувствительность к лёгким элементам; изотопный контраст; исследование динамики; исследование магнетизма; гибкие среды образца; комплементарность по отношению к рентгеновскому рассеянию, электронной микроскопии, магнитному резонансу и вычислительным методам.</w:t>
            </w:r>
          </w:p>
          <w:p w14:paraId="57AB97E2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</w:p>
          <w:p w14:paraId="6CEEACA3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От научных открытий до решения общественных вызовов — уникальные физические свойства нейтронов делают их исключительно мощным зондом для исследования вещества. Эта брошюра показывает влияние нейтронной науки, обеспеченной самыми интенсивными в мире нейтронными пучками и современной научной инфраструктурой </w:t>
            </w:r>
            <w:r>
              <w:t>ILL</w:t>
            </w:r>
            <w:r w:rsidRPr="00226A07">
              <w:rPr>
                <w:lang w:val="ru-RU"/>
              </w:rPr>
              <w:t>.</w:t>
            </w:r>
          </w:p>
        </w:tc>
      </w:tr>
      <w:tr w:rsidR="00226A07" w:rsidRPr="00226A07" w14:paraId="4AA035E8" w14:textId="77777777" w:rsidTr="00226A07">
        <w:trPr>
          <w:jc w:val="center"/>
        </w:trPr>
        <w:tc>
          <w:tcPr>
            <w:tcW w:w="9865" w:type="dxa"/>
            <w:shd w:val="clear" w:color="auto" w:fill="F7F9FC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2D87B7BA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21"/>
                <w:lang w:val="ru-RU"/>
              </w:rPr>
              <w:t xml:space="preserve">НЕЙТРОНЫ: решение общественных задач вместе с академией и промышленностью в </w:t>
            </w:r>
            <w:r>
              <w:rPr>
                <w:b/>
                <w:sz w:val="21"/>
              </w:rPr>
              <w:t>ILL</w:t>
            </w:r>
          </w:p>
        </w:tc>
      </w:tr>
      <w:tr w:rsidR="00226A07" w:rsidRPr="00226A07" w14:paraId="1B9E65F7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15CC33AF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Нейтроны в </w:t>
            </w:r>
            <w:r>
              <w:t>ILL</w:t>
            </w:r>
            <w:r w:rsidRPr="00226A07">
              <w:rPr>
                <w:lang w:val="ru-RU"/>
              </w:rPr>
              <w:t xml:space="preserve"> играют ключевую роль в европейской экосистеме науки и инноваций, внося вклад в научные открытия, развитие новых технологий и решение крупных общественных задач. Индустриализация, изменение климата, уязвимость инфраструктуры, риски для общественного здоровья, вопросы продовольственной безопасности и ИТ-революция создали новые требования к науке и технологиям. Решение многих из этих задач требует более эффективных систем накопления энергии, более результативного получения энергии, более лёгких материалов, более экологичных промышленных процессов, развития цифровых технологий и быстрой биомедицинской инновации.</w:t>
            </w:r>
          </w:p>
          <w:p w14:paraId="55E78B20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</w:p>
          <w:p w14:paraId="2ED14090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Устойчивый прогресс также невозможен без постоянной поддержки институтов, создающих знания. Европейская академическая инфраструктура и передовые промышленные </w:t>
            </w:r>
            <w:r>
              <w:t>R</w:t>
            </w:r>
            <w:r w:rsidRPr="00226A07">
              <w:rPr>
                <w:lang w:val="ru-RU"/>
              </w:rPr>
              <w:t>&amp;</w:t>
            </w:r>
            <w:r>
              <w:t>D</w:t>
            </w:r>
            <w:r w:rsidRPr="00226A07">
              <w:rPr>
                <w:lang w:val="ru-RU"/>
              </w:rPr>
              <w:t xml:space="preserve">-лаборатории совместно превращают результаты исследований в новые продукты, лучшие процессы и более надёжный контроль качества. Одним из примеров такого сотрудничества является программа </w:t>
            </w:r>
            <w:r>
              <w:t>ILL</w:t>
            </w:r>
            <w:r w:rsidRPr="00226A07">
              <w:rPr>
                <w:lang w:val="ru-RU"/>
              </w:rPr>
              <w:t>-</w:t>
            </w:r>
            <w:r>
              <w:t>ESRF</w:t>
            </w:r>
            <w:r w:rsidRPr="00226A07">
              <w:rPr>
                <w:lang w:val="ru-RU"/>
              </w:rPr>
              <w:t xml:space="preserve"> </w:t>
            </w:r>
            <w:proofErr w:type="spellStart"/>
            <w:r>
              <w:t>InnovaXN</w:t>
            </w:r>
            <w:proofErr w:type="spellEnd"/>
            <w:r w:rsidRPr="00226A07">
              <w:rPr>
                <w:lang w:val="ru-RU"/>
              </w:rPr>
              <w:t>.</w:t>
            </w:r>
          </w:p>
          <w:p w14:paraId="2CA6AA68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</w:p>
          <w:p w14:paraId="10E4264F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Нейтронная наука в </w:t>
            </w:r>
            <w:r>
              <w:t>ILL</w:t>
            </w:r>
            <w:r w:rsidRPr="00226A07">
              <w:rPr>
                <w:lang w:val="ru-RU"/>
              </w:rPr>
              <w:t xml:space="preserve"> незаменима в этой экосистеме. Инженерные науки используют способность нейтронов проникать через плотные материалы, науки о жизни — их чувствительность к водороду и воде, физика конденсированного состояния — их магнитные свойства, а исследования наследия — их неразрушающий характер. Брошюра показывает современные исследования, выполняемые с нейтронами в </w:t>
            </w:r>
            <w:r>
              <w:t>ILL</w:t>
            </w:r>
            <w:r w:rsidRPr="00226A07">
              <w:rPr>
                <w:lang w:val="ru-RU"/>
              </w:rPr>
              <w:t>, в ключевых научных областях и промышленных секторах.</w:t>
            </w:r>
          </w:p>
        </w:tc>
      </w:tr>
      <w:tr w:rsidR="00226A07" w14:paraId="3D18C1CA" w14:textId="77777777" w:rsidTr="00226A07">
        <w:trPr>
          <w:jc w:val="center"/>
        </w:trPr>
        <w:tc>
          <w:tcPr>
            <w:tcW w:w="9865" w:type="dxa"/>
            <w:shd w:val="clear" w:color="auto" w:fill="F7F9FC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59701D16" w14:textId="77777777" w:rsidR="00226A07" w:rsidRDefault="00226A07" w:rsidP="00226A07">
            <w:pPr>
              <w:spacing w:after="40" w:line="257" w:lineRule="auto"/>
              <w:jc w:val="both"/>
            </w:pPr>
            <w:r>
              <w:rPr>
                <w:b/>
                <w:sz w:val="21"/>
              </w:rPr>
              <w:t>ЗДРАВООХРАНЕНИЕ</w:t>
            </w:r>
          </w:p>
        </w:tc>
      </w:tr>
      <w:tr w:rsidR="00226A07" w:rsidRPr="00226A07" w14:paraId="07315035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6C0CB287" w14:textId="648B0632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Общественное здравоохранение остаётся одной из важнейших общественных задач. Рост продолжительности жизни увеличил распространённость возрастных состояний, хронических заболеваний и инвалидности, тогда как развивающиеся страны всё ещё сталкиваются с ВИЧ/СПИДом, малярией и туберкулёзом. Пандемия </w:t>
            </w:r>
            <w:r>
              <w:t>COVID</w:t>
            </w:r>
            <w:r w:rsidRPr="00226A07">
              <w:rPr>
                <w:lang w:val="ru-RU"/>
              </w:rPr>
              <w:t>-19 показала, насколько трудно сдерживать высоко заразные болезни в глобальном мобильном обществе. Прогресс зависит от понимания биологических процессов, лежащих в основе здоровья и болезни.</w:t>
            </w:r>
          </w:p>
          <w:p w14:paraId="3E29D429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</w:p>
          <w:p w14:paraId="65BD111E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Нейтроны дают точную информацию об атомах водорода и водородных связях, что критически важно для понимания функции ферментов и для повышения эффективности лекарств, их доставки и формулирования. Такие фармацевтические компании, как </w:t>
            </w:r>
            <w:r>
              <w:t>AstraZeneca</w:t>
            </w:r>
            <w:r w:rsidRPr="00226A07">
              <w:rPr>
                <w:lang w:val="ru-RU"/>
              </w:rPr>
              <w:t xml:space="preserve">, </w:t>
            </w:r>
            <w:r>
              <w:t>BioNTech</w:t>
            </w:r>
            <w:r w:rsidRPr="00226A07">
              <w:rPr>
                <w:lang w:val="ru-RU"/>
              </w:rPr>
              <w:t xml:space="preserve"> и </w:t>
            </w:r>
            <w:r>
              <w:t>CureVac</w:t>
            </w:r>
            <w:r w:rsidRPr="00226A07">
              <w:rPr>
                <w:lang w:val="ru-RU"/>
              </w:rPr>
              <w:t xml:space="preserve">, используют нейтроны в </w:t>
            </w:r>
            <w:r>
              <w:t>ILL</w:t>
            </w:r>
            <w:r w:rsidRPr="00226A07">
              <w:rPr>
                <w:lang w:val="ru-RU"/>
              </w:rPr>
              <w:t xml:space="preserve"> как часть своего аналитического инструментария.</w:t>
            </w:r>
          </w:p>
          <w:p w14:paraId="21469F24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</w:p>
          <w:p w14:paraId="2D53E97E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В исследованиях </w:t>
            </w:r>
            <w:r>
              <w:t>COVID</w:t>
            </w:r>
            <w:r w:rsidRPr="00226A07">
              <w:rPr>
                <w:lang w:val="ru-RU"/>
              </w:rPr>
              <w:t xml:space="preserve">-19 нейтроны внесли вклад в создание вакцин на основе матричной РНК, предоставив данные о функции </w:t>
            </w:r>
            <w:r>
              <w:t>mRNA</w:t>
            </w:r>
            <w:r w:rsidRPr="00226A07">
              <w:rPr>
                <w:lang w:val="ru-RU"/>
              </w:rPr>
              <w:t>, её биораспределении и поглощении клетками. В онкологии нейтроны поддерживают структурные и функциональные исследования, разработку лекарств на основе структуры и такие методы лечения, как селективное облучение и бор-нейтронозахватная терапия. В исследованиях нейродегенеративных заболеваний нейтроны помогают выявлять неправильное сворачивание белковых молекул, связанных с болезнями Альцгеймера, Паркинсона и Хантингтона.</w:t>
            </w:r>
          </w:p>
        </w:tc>
      </w:tr>
      <w:tr w:rsidR="00226A07" w:rsidRPr="00226A07" w14:paraId="38BD2A43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3FD3BB17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t>Пример в здравоохранении: усиление терапии рака благодаря нейтронным исследованиям</w:t>
            </w:r>
          </w:p>
        </w:tc>
      </w:tr>
      <w:tr w:rsidR="00226A07" w:rsidRPr="00226A07" w14:paraId="00F5A5C1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614075D7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Бор-нейтронозахватная терапия использует соединения, богатые бором-10, которые при облучении нейтронами становятся смертельными для опухолевых клеток. Пучки нейтронов в </w:t>
            </w:r>
            <w:r>
              <w:t>ILL</w:t>
            </w:r>
            <w:r w:rsidRPr="00226A07">
              <w:rPr>
                <w:lang w:val="ru-RU"/>
              </w:rPr>
              <w:t xml:space="preserve"> применялись для испытания новых бор-</w:t>
            </w:r>
            <w:r w:rsidRPr="00226A07">
              <w:rPr>
                <w:lang w:val="ru-RU"/>
              </w:rPr>
              <w:lastRenderedPageBreak/>
              <w:t>меченых молекул, оценки биологической эффективности и оптимизации протоколов планирования лечения.</w:t>
            </w:r>
          </w:p>
        </w:tc>
      </w:tr>
      <w:tr w:rsidR="00226A07" w:rsidRPr="00226A07" w14:paraId="670ED8C2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5FB96970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lastRenderedPageBreak/>
              <w:t>Пример в здравоохранении: связывание патогена человека с клетками</w:t>
            </w:r>
          </w:p>
        </w:tc>
      </w:tr>
      <w:tr w:rsidR="00226A07" w:rsidRPr="00226A07" w14:paraId="242DA7E0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3DBA03B9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>
              <w:t>Pseudomonas</w:t>
            </w:r>
            <w:r w:rsidRPr="00226A07">
              <w:rPr>
                <w:lang w:val="ru-RU"/>
              </w:rPr>
              <w:t xml:space="preserve"> </w:t>
            </w:r>
            <w:r>
              <w:t>aeruginosa</w:t>
            </w:r>
            <w:r w:rsidRPr="00226A07">
              <w:rPr>
                <w:lang w:val="ru-RU"/>
              </w:rPr>
              <w:t xml:space="preserve"> является одной из главных причин внутрибольничных инфекций и критически важной мишенью для новых лекарств. Нейтроны особенно чувствительны к водороду и помогают выявлять связи, определяющие взаимодействие патогена с клеткой-хозяином.</w:t>
            </w:r>
          </w:p>
        </w:tc>
      </w:tr>
      <w:tr w:rsidR="00226A07" w:rsidRPr="00226A07" w14:paraId="1029D7F5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1133ED78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t xml:space="preserve">Пример в здравоохранении: липидные наночастицы, содержащие </w:t>
            </w:r>
            <w:r>
              <w:rPr>
                <w:b/>
                <w:sz w:val="19"/>
              </w:rPr>
              <w:t>mRNA</w:t>
            </w:r>
          </w:p>
        </w:tc>
      </w:tr>
      <w:tr w:rsidR="00226A07" w:rsidRPr="00226A07" w14:paraId="45549EF0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51159DD4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Терапевтические подходы, основанные на синтезе белков после доставки </w:t>
            </w:r>
            <w:r>
              <w:t>mRNA</w:t>
            </w:r>
            <w:r w:rsidRPr="00226A07">
              <w:rPr>
                <w:lang w:val="ru-RU"/>
              </w:rPr>
              <w:t>, становятся всё более важными. Малоугловое нейтронное рассеяние даёт ценную информацию о структуре таких наночастиц и их поглощении клетками.</w:t>
            </w:r>
          </w:p>
        </w:tc>
      </w:tr>
      <w:tr w:rsidR="00226A07" w14:paraId="68FF52BF" w14:textId="77777777" w:rsidTr="00226A07">
        <w:trPr>
          <w:jc w:val="center"/>
        </w:trPr>
        <w:tc>
          <w:tcPr>
            <w:tcW w:w="9865" w:type="dxa"/>
            <w:shd w:val="clear" w:color="auto" w:fill="F7F9FC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05E2CDD7" w14:textId="77777777" w:rsidR="00226A07" w:rsidRDefault="00226A07" w:rsidP="00226A07">
            <w:pPr>
              <w:spacing w:after="40" w:line="257" w:lineRule="auto"/>
              <w:jc w:val="both"/>
            </w:pPr>
            <w:r>
              <w:rPr>
                <w:b/>
                <w:sz w:val="21"/>
              </w:rPr>
              <w:t>ЭНЕРГЕТИКА</w:t>
            </w:r>
          </w:p>
        </w:tc>
      </w:tr>
      <w:tr w:rsidR="00226A07" w:rsidRPr="00226A07" w14:paraId="25DAA4EF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45E52585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Нейтроны имеют большое значение для всего энергетического сектора — от батарей и топливных элементов до атомной энергетики, ветряных турбин и солнечных панелей. Многие энергетические материалы содержат лёгкие элементы, такие как водород, литий и кислород, которые особенно хорошо подходят для нейтронных исследований. Нейтроны также позволяют изучать топливные элементы и батареи в режиме </w:t>
            </w:r>
            <w:r>
              <w:t>operando</w:t>
            </w:r>
            <w:r w:rsidRPr="00226A07">
              <w:rPr>
                <w:lang w:val="ru-RU"/>
              </w:rPr>
              <w:t>, помогая понять химические реакции, происходящие во время эксплуатации.</w:t>
            </w:r>
          </w:p>
          <w:p w14:paraId="02DD4B38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</w:p>
          <w:p w14:paraId="7E9B4608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В батареях нейтронные методы отслеживают ионы лития или натрия во время зарядки и разрядки и раскрывают свойства интерфейсов, а также новых составов электродов и электролитов. В ядерной энергетике нейтроны помогают оценивать надёжность компонентов реакторов и поддерживают стратегии продления срока службы АЭС, а также исследования ядерных отходов. В водородной тематике их высокая чувствительность к водороду делает их идеальным инструментом для совершенствования получения, хранения и конструкции топливных элементов. Нейтроны также используются для исследования солнечных элементов будущего и старения материалов в экстремальных условиях.</w:t>
            </w:r>
          </w:p>
        </w:tc>
      </w:tr>
      <w:tr w:rsidR="00226A07" w:rsidRPr="00226A07" w14:paraId="504FA1D0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32CF2873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t>Пример в энергетике: новые материалы для суперконденсаторов</w:t>
            </w:r>
          </w:p>
        </w:tc>
      </w:tr>
      <w:tr w:rsidR="00226A07" w:rsidRPr="00226A07" w14:paraId="24CA4B0B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79FE1DCD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Квазиупругое нейтронное рассеяние даёт ключевую информацию о поведении ионных жидкостей в пористых углеродных материалах для суперконденсаторов.</w:t>
            </w:r>
          </w:p>
        </w:tc>
      </w:tr>
      <w:tr w:rsidR="00226A07" w:rsidRPr="00226A07" w14:paraId="6B49D579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44938B0A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t>Пример в энергетике: натрий-ионные проводники для батарей будущего</w:t>
            </w:r>
          </w:p>
        </w:tc>
      </w:tr>
      <w:tr w:rsidR="00226A07" w:rsidRPr="00226A07" w14:paraId="33913598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3BE74D67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Материал </w:t>
            </w:r>
            <w:r>
              <w:t>Na</w:t>
            </w:r>
            <w:r w:rsidRPr="00226A07">
              <w:rPr>
                <w:lang w:val="ru-RU"/>
              </w:rPr>
              <w:t>₃</w:t>
            </w:r>
            <w:r>
              <w:t>PS</w:t>
            </w:r>
            <w:r w:rsidRPr="00226A07">
              <w:rPr>
                <w:lang w:val="ru-RU"/>
              </w:rPr>
              <w:t>₄, исследованный в том числе нейтронной спектроскопией, считается одним из наиболее перспективных высокоэффективных материалов для твердотельных батарей следующего поколения.</w:t>
            </w:r>
          </w:p>
        </w:tc>
      </w:tr>
      <w:tr w:rsidR="00226A07" w:rsidRPr="00226A07" w14:paraId="5ACC249F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7D8E652B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t>Пример в энергетике: на пути к идеальному топливному элементу</w:t>
            </w:r>
          </w:p>
        </w:tc>
      </w:tr>
      <w:tr w:rsidR="00226A07" w:rsidRPr="00226A07" w14:paraId="6CB5B07A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46DB78CA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Нейтронные исследования раскрыли сложную динамику полупроницаемых полимерных мембран, селективно пропускающих ионы в топливных элементах.</w:t>
            </w:r>
          </w:p>
        </w:tc>
      </w:tr>
      <w:tr w:rsidR="00226A07" w:rsidRPr="00226A07" w14:paraId="74052576" w14:textId="77777777" w:rsidTr="00226A07">
        <w:trPr>
          <w:jc w:val="center"/>
        </w:trPr>
        <w:tc>
          <w:tcPr>
            <w:tcW w:w="9865" w:type="dxa"/>
            <w:shd w:val="clear" w:color="auto" w:fill="F7F9FC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648C4377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21"/>
                <w:lang w:val="ru-RU"/>
              </w:rPr>
              <w:t>ОКРУЖАЮЩАЯ СРЕДА И ИЗМЕНЕНИЕ КЛИМАТА</w:t>
            </w:r>
          </w:p>
        </w:tc>
      </w:tr>
      <w:tr w:rsidR="00226A07" w:rsidRPr="00226A07" w14:paraId="37B88101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20A66AE6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Человеческая деятельность оказывает широкое и нередко серьёзное воздействие на окружающую среду, и многие из этих эффектов связаны с изменением климата. Универсальность нейтронных методов помогает исследователям разрабатывать способы смягчения этих последствий через снижение выбросов, улучшение катализаторов, развитие более чистых технологий и более глубокое понимание систем «растение–почва–атмосфера».</w:t>
            </w:r>
          </w:p>
          <w:p w14:paraId="2B5FB4AD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</w:p>
          <w:p w14:paraId="11A31064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Нейтроны углубили понимание производства и старения цемента, что особенно важно, поскольку цемент отвечает за значительную долю глобальных выбросов </w:t>
            </w:r>
            <w:r>
              <w:t>CO</w:t>
            </w:r>
            <w:r w:rsidRPr="00226A07">
              <w:rPr>
                <w:lang w:val="ru-RU"/>
              </w:rPr>
              <w:t xml:space="preserve">₂. Они поддерживают технологии улавливания и хранения углерода, использование </w:t>
            </w:r>
            <w:r>
              <w:t>CO</w:t>
            </w:r>
            <w:r w:rsidRPr="00226A07">
              <w:rPr>
                <w:lang w:val="ru-RU"/>
              </w:rPr>
              <w:t>₂ в качестве сырья и исследования загрязнителей в облаках. Нейтроны широко применяются в катализе для снижения энергопотребления и количества отходов. Они помогают развивать чистые технологии за счёт характеристики загрязнителей, удаления наночастиц из сточных вод и создания пористых материалов для извлечения опасных или ценных ионов металлов. Они также способствуют разработке устойчивых пластиков, биоразлагаемых полимеров и исследованиям корней растений, важным для климатических моделей и продовольственных систем.</w:t>
            </w:r>
          </w:p>
        </w:tc>
      </w:tr>
      <w:tr w:rsidR="00226A07" w:rsidRPr="00226A07" w14:paraId="442FADDE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112499DF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t>Пример в области окружающей среды: устойчивые полимеры для пластмасс</w:t>
            </w:r>
          </w:p>
        </w:tc>
      </w:tr>
      <w:tr w:rsidR="00226A07" w:rsidRPr="00226A07" w14:paraId="4400E5FC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236DBD39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Биоразлагаемые биополимеры исследовались методом </w:t>
            </w:r>
            <w:proofErr w:type="spellStart"/>
            <w:r w:rsidRPr="00226A07">
              <w:rPr>
                <w:lang w:val="ru-RU"/>
              </w:rPr>
              <w:t>малоуглового</w:t>
            </w:r>
            <w:proofErr w:type="spellEnd"/>
            <w:r w:rsidRPr="00226A07">
              <w:rPr>
                <w:lang w:val="ru-RU"/>
              </w:rPr>
              <w:t xml:space="preserve"> нейтронного рассеяния, чтобы придать им </w:t>
            </w:r>
            <w:r w:rsidRPr="00226A07">
              <w:rPr>
                <w:lang w:val="ru-RU"/>
              </w:rPr>
              <w:lastRenderedPageBreak/>
              <w:t>свойства, близкие к свойствам нефтехимических полимеров.</w:t>
            </w:r>
          </w:p>
        </w:tc>
      </w:tr>
      <w:tr w:rsidR="00226A07" w:rsidRPr="00226A07" w14:paraId="69C67459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67E22586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lastRenderedPageBreak/>
              <w:t>Пример в области окружающей среды: токсичные загрязнители на оконных плёнках</w:t>
            </w:r>
          </w:p>
        </w:tc>
      </w:tr>
      <w:tr w:rsidR="00226A07" w:rsidRPr="00226A07" w14:paraId="6D2B19A4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74CCBAE7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Нейтронная </w:t>
            </w:r>
            <w:proofErr w:type="spellStart"/>
            <w:r w:rsidRPr="00226A07">
              <w:rPr>
                <w:lang w:val="ru-RU"/>
              </w:rPr>
              <w:t>рефлектометрия</w:t>
            </w:r>
            <w:proofErr w:type="spellEnd"/>
            <w:r w:rsidRPr="00226A07">
              <w:rPr>
                <w:lang w:val="ru-RU"/>
              </w:rPr>
              <w:t xml:space="preserve"> использовалась для изучения старения наноразмерных органических плёнок, например слоёв жирных кислот, и их устойчивости в атмосфере.</w:t>
            </w:r>
          </w:p>
        </w:tc>
      </w:tr>
      <w:tr w:rsidR="00226A07" w:rsidRPr="00226A07" w14:paraId="6405B123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36E400F6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t xml:space="preserve">Пример в области окружающей среды: улавливание </w:t>
            </w:r>
            <w:r>
              <w:rPr>
                <w:b/>
                <w:sz w:val="19"/>
              </w:rPr>
              <w:t>CO</w:t>
            </w:r>
            <w:r w:rsidRPr="00226A07">
              <w:rPr>
                <w:b/>
                <w:sz w:val="19"/>
                <w:lang w:val="ru-RU"/>
              </w:rPr>
              <w:t>₂ для химической промышленности</w:t>
            </w:r>
          </w:p>
        </w:tc>
      </w:tr>
      <w:tr w:rsidR="00226A07" w:rsidRPr="00226A07" w14:paraId="32F4D736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6BD70557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Высокоразрешающая нейтронная визуализация показала работу электролитической ячейки, предназначенной для превращения </w:t>
            </w:r>
            <w:r>
              <w:t>CO</w:t>
            </w:r>
            <w:r w:rsidRPr="00226A07">
              <w:rPr>
                <w:lang w:val="ru-RU"/>
              </w:rPr>
              <w:t>₂ в сырьё для ценных химических продуктов.</w:t>
            </w:r>
          </w:p>
        </w:tc>
      </w:tr>
      <w:tr w:rsidR="00226A07" w:rsidRPr="00226A07" w14:paraId="7C7B99F3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3BDF3185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t>Пример в области окружающей среды: молекулярные ловушки для опасных и ценных металлов</w:t>
            </w:r>
          </w:p>
        </w:tc>
      </w:tr>
      <w:tr w:rsidR="00226A07" w:rsidRPr="00226A07" w14:paraId="74303219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726DAA6E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Нейтронная спектроскопия применялась для исследования пористых </w:t>
            </w:r>
            <w:proofErr w:type="gramStart"/>
            <w:r w:rsidRPr="00226A07">
              <w:rPr>
                <w:lang w:val="ru-RU"/>
              </w:rPr>
              <w:t>металл-органических</w:t>
            </w:r>
            <w:proofErr w:type="gramEnd"/>
            <w:r w:rsidRPr="00226A07">
              <w:rPr>
                <w:lang w:val="ru-RU"/>
              </w:rPr>
              <w:t xml:space="preserve"> каркасов, предназначенных для извлечения и разделения опасных и ценных ионов металлов из водных растворов.</w:t>
            </w:r>
          </w:p>
        </w:tc>
      </w:tr>
      <w:tr w:rsidR="00226A07" w:rsidRPr="00226A07" w14:paraId="49DE8580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06AD8546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t xml:space="preserve">Пример в области окружающей среды: катализ через </w:t>
            </w:r>
            <w:proofErr w:type="spellStart"/>
            <w:r w:rsidRPr="00226A07">
              <w:rPr>
                <w:b/>
                <w:sz w:val="19"/>
                <w:lang w:val="ru-RU"/>
              </w:rPr>
              <w:t>академико</w:t>
            </w:r>
            <w:proofErr w:type="spellEnd"/>
            <w:r w:rsidRPr="00226A07">
              <w:rPr>
                <w:b/>
                <w:sz w:val="19"/>
                <w:lang w:val="ru-RU"/>
              </w:rPr>
              <w:t>-промышленное сотрудничество</w:t>
            </w:r>
          </w:p>
        </w:tc>
      </w:tr>
      <w:tr w:rsidR="00226A07" w:rsidRPr="00226A07" w14:paraId="2D8A0EF1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3CBCAEC8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Нейтронная рамановская спектроскопия позволила идентифицировать ключевые молекулярные виды в важных каталитических системах, открывая путь к повышению эффективности промышленных процессов.</w:t>
            </w:r>
          </w:p>
        </w:tc>
      </w:tr>
      <w:tr w:rsidR="00226A07" w:rsidRPr="00226A07" w14:paraId="20D28F85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5CE38E2F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t>Пример в области окружающей среды: секреты устойчивого бетона</w:t>
            </w:r>
          </w:p>
        </w:tc>
      </w:tr>
      <w:tr w:rsidR="00226A07" w:rsidRPr="00226A07" w14:paraId="3C2899EF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3C0F9089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Нейтронная визуализация использовалась для изучения гидратации, трещинообразования, пористости и усадки — факторов, определяющих старение и долговечность бетона.</w:t>
            </w:r>
          </w:p>
        </w:tc>
      </w:tr>
      <w:tr w:rsidR="00226A07" w14:paraId="6F1B93A5" w14:textId="77777777" w:rsidTr="00226A07">
        <w:trPr>
          <w:jc w:val="center"/>
        </w:trPr>
        <w:tc>
          <w:tcPr>
            <w:tcW w:w="9865" w:type="dxa"/>
            <w:shd w:val="clear" w:color="auto" w:fill="F7F9FC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0D6176E9" w14:textId="77777777" w:rsidR="00226A07" w:rsidRDefault="00226A07" w:rsidP="00226A07">
            <w:pPr>
              <w:spacing w:after="40" w:line="257" w:lineRule="auto"/>
              <w:jc w:val="both"/>
            </w:pPr>
            <w:r>
              <w:rPr>
                <w:b/>
                <w:sz w:val="21"/>
              </w:rPr>
              <w:t>КВАНТОВЫЕ МАТЕРИАЛЫ</w:t>
            </w:r>
          </w:p>
        </w:tc>
      </w:tr>
      <w:tr w:rsidR="00226A07" w:rsidRPr="00226A07" w14:paraId="0A39126C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015D46E0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Современное общество зависит от передовых цифровых технологий, однако традиционные вычисления подходят к физическим пределам по размерам устройств и энергопотреблению. Следующая информационно-технологическая революция зависит от использования квантовых состояний, особенно связанных со спинами электронов. Управление этими явлениями на наноуровне может увеличить плотность данных и повысить эффективность, поскольку информация, закодированная в спине, может передаваться без движения электронов.</w:t>
            </w:r>
          </w:p>
          <w:p w14:paraId="7274B253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</w:p>
          <w:p w14:paraId="01EA07C7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Ядерный спин нейтронов делает их исключительно мощным зондом этих явлений, поскольку они подробно раскрывают магнитную структуру и динамику. Нейтроны также проходят через сложные среды образца, необходимые для экспериментов при очень низких температурах, высоких магнитных полях и высоком давлении. Поэтому они занимают центральное место в исследованиях квантовых материалов, топологических материалов и передовых электронных устройств.</w:t>
            </w:r>
          </w:p>
        </w:tc>
      </w:tr>
      <w:tr w:rsidR="00226A07" w:rsidRPr="00226A07" w14:paraId="78C47831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540C5923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t>Пример в области квантовых материалов: нейтроны и спиновое будущее</w:t>
            </w:r>
          </w:p>
        </w:tc>
      </w:tr>
      <w:tr w:rsidR="00226A07" w:rsidRPr="00226A07" w14:paraId="6FF8CC2A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5AF123D7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Магнонная поляризация, важная для </w:t>
            </w:r>
            <w:proofErr w:type="spellStart"/>
            <w:r w:rsidRPr="00226A07">
              <w:rPr>
                <w:lang w:val="ru-RU"/>
              </w:rPr>
              <w:t>спинтроники</w:t>
            </w:r>
            <w:proofErr w:type="spellEnd"/>
            <w:r w:rsidRPr="00226A07">
              <w:rPr>
                <w:lang w:val="ru-RU"/>
              </w:rPr>
              <w:t>, впервые была напрямую измерена в материале с помощью нейтронной спектроскопии.</w:t>
            </w:r>
          </w:p>
        </w:tc>
      </w:tr>
      <w:tr w:rsidR="00226A07" w:rsidRPr="00226A07" w14:paraId="685090EA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18E6C642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t>Пример в области квантовых материалов: ещё один шаг к магнонным устройствам</w:t>
            </w:r>
          </w:p>
        </w:tc>
      </w:tr>
      <w:tr w:rsidR="00226A07" w:rsidRPr="00226A07" w14:paraId="2F3A660A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6D354239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Учёные обнаружили круговое волновое движение в </w:t>
            </w:r>
            <w:proofErr w:type="spellStart"/>
            <w:r w:rsidRPr="00226A07">
              <w:rPr>
                <w:lang w:val="ru-RU"/>
              </w:rPr>
              <w:t>скирмионах</w:t>
            </w:r>
            <w:proofErr w:type="spellEnd"/>
            <w:r w:rsidRPr="00226A07">
              <w:rPr>
                <w:lang w:val="ru-RU"/>
              </w:rPr>
              <w:t xml:space="preserve"> — магнитных вихрях, которые могут открыть путь к новым низкоэнергетическим технологиям.</w:t>
            </w:r>
          </w:p>
        </w:tc>
      </w:tr>
      <w:tr w:rsidR="00226A07" w:rsidRPr="00226A07" w14:paraId="11A832A8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5C6E61BB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t>Пример в области квантовых материалов: новый спиновый жидкий порядок раскрывает свой потенциал</w:t>
            </w:r>
          </w:p>
        </w:tc>
      </w:tr>
      <w:tr w:rsidR="00226A07" w:rsidRPr="00226A07" w14:paraId="472DF6C0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6E1C1A68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Квантовые спиновые жидкости, являющиеся проявлением квантовой запутанности, впервые были измерены нейтронами на фрустрированной треугольной решётке.</w:t>
            </w:r>
          </w:p>
        </w:tc>
      </w:tr>
      <w:tr w:rsidR="00226A07" w14:paraId="0CBA9EC8" w14:textId="77777777" w:rsidTr="00226A07">
        <w:trPr>
          <w:jc w:val="center"/>
        </w:trPr>
        <w:tc>
          <w:tcPr>
            <w:tcW w:w="9865" w:type="dxa"/>
            <w:shd w:val="clear" w:color="auto" w:fill="F7F9FC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02A19AC1" w14:textId="77777777" w:rsidR="00226A07" w:rsidRDefault="00226A07" w:rsidP="00226A07">
            <w:pPr>
              <w:spacing w:after="40" w:line="257" w:lineRule="auto"/>
              <w:jc w:val="both"/>
            </w:pPr>
            <w:r>
              <w:rPr>
                <w:b/>
                <w:sz w:val="21"/>
              </w:rPr>
              <w:t>ФИЗИКА ЧАСТИЦ</w:t>
            </w:r>
          </w:p>
        </w:tc>
      </w:tr>
      <w:tr w:rsidR="00226A07" w:rsidRPr="00226A07" w14:paraId="2519BC5A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7AD9D7FA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Физика частиц углубляет наше понимание происхождения и эволюции Вселенной и того, как материя устроена на фундаментальном уровне. Стандартная модель описывает все известные фундаментальные взаимодействия и частицы, однако возможные отклонения указывают на её неполноту. В </w:t>
            </w:r>
            <w:r>
              <w:t>ILL</w:t>
            </w:r>
            <w:r w:rsidRPr="00226A07">
              <w:rPr>
                <w:lang w:val="ru-RU"/>
              </w:rPr>
              <w:t xml:space="preserve"> пределы физики частиц исследуются через изучение свойств и распада нейтрона, а также нейтрино, образующихся в реакторе.</w:t>
            </w:r>
          </w:p>
          <w:p w14:paraId="123F9180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</w:p>
          <w:p w14:paraId="2BBDA2C2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Нейтронные эксперименты обеспечивают строгие проверки слабого взаимодействия через распад свободного </w:t>
            </w:r>
            <w:r w:rsidRPr="00226A07">
              <w:rPr>
                <w:lang w:val="ru-RU"/>
              </w:rPr>
              <w:lastRenderedPageBreak/>
              <w:t xml:space="preserve">нейтрона. Они ищут асимметрию материя–антиматерия через электрический дипольный момент нейтрона; в ключевых экспериментах, таких как </w:t>
            </w:r>
            <w:proofErr w:type="spellStart"/>
            <w:r>
              <w:t>PanEDM</w:t>
            </w:r>
            <w:proofErr w:type="spellEnd"/>
            <w:r w:rsidRPr="00226A07">
              <w:rPr>
                <w:lang w:val="ru-RU"/>
              </w:rPr>
              <w:t xml:space="preserve">, используются </w:t>
            </w:r>
            <w:proofErr w:type="spellStart"/>
            <w:r w:rsidRPr="00226A07">
              <w:rPr>
                <w:lang w:val="ru-RU"/>
              </w:rPr>
              <w:t>ультрахолодные</w:t>
            </w:r>
            <w:proofErr w:type="spellEnd"/>
            <w:r w:rsidRPr="00226A07">
              <w:rPr>
                <w:lang w:val="ru-RU"/>
              </w:rPr>
              <w:t xml:space="preserve"> нейтроны, позволяющие достигать очень длительных времён наблюдения. Нейтроны также помогают проверять теории тёмной материи и тёмной энергии через квантовые состояния нейтронов и сверхточные эксперименты, такие как </w:t>
            </w:r>
            <w:proofErr w:type="spellStart"/>
            <w:r>
              <w:t>qBounce</w:t>
            </w:r>
            <w:proofErr w:type="spellEnd"/>
            <w:r w:rsidRPr="00226A07">
              <w:rPr>
                <w:lang w:val="ru-RU"/>
              </w:rPr>
              <w:t>, а также новые методы нейтронной интерферометрии.</w:t>
            </w:r>
          </w:p>
        </w:tc>
      </w:tr>
      <w:tr w:rsidR="00226A07" w:rsidRPr="00226A07" w14:paraId="3CBAB837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3F550C03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lastRenderedPageBreak/>
              <w:t xml:space="preserve">Пример в физике частиц: </w:t>
            </w:r>
            <w:r>
              <w:rPr>
                <w:b/>
                <w:sz w:val="19"/>
              </w:rPr>
              <w:t>Stereo</w:t>
            </w:r>
            <w:r w:rsidRPr="00226A07">
              <w:rPr>
                <w:b/>
                <w:sz w:val="19"/>
                <w:lang w:val="ru-RU"/>
              </w:rPr>
              <w:t xml:space="preserve"> и стерильные нейтрино</w:t>
            </w:r>
          </w:p>
        </w:tc>
      </w:tr>
      <w:tr w:rsidR="00226A07" w:rsidRPr="00226A07" w14:paraId="5EC6619D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62C9476F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После шести лет измерений коллаборация </w:t>
            </w:r>
            <w:r>
              <w:t>Stereo</w:t>
            </w:r>
            <w:r w:rsidRPr="00226A07">
              <w:rPr>
                <w:lang w:val="ru-RU"/>
              </w:rPr>
              <w:t xml:space="preserve"> не обнаружила признаков стерильных нейтрино в данных по реакторным нейтрино.</w:t>
            </w:r>
          </w:p>
        </w:tc>
      </w:tr>
      <w:tr w:rsidR="00226A07" w:rsidRPr="00226A07" w14:paraId="437E0726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1B7A7242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t>Пример в физике частиц: квантовая волна в двух кристаллах</w:t>
            </w:r>
          </w:p>
        </w:tc>
      </w:tr>
      <w:tr w:rsidR="00226A07" w:rsidRPr="00226A07" w14:paraId="3609B247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7149C4A4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Нейтронные интерферометры с двумя кристаллами, ориентированными с исключительно высокой угловой точностью, открыли новые возможности для исследования квантовых эффектов в гравитационных полях.</w:t>
            </w:r>
          </w:p>
        </w:tc>
      </w:tr>
      <w:tr w:rsidR="00226A07" w:rsidRPr="00226A07" w14:paraId="5FBC7850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51485A49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b/>
                <w:sz w:val="19"/>
                <w:lang w:val="ru-RU"/>
              </w:rPr>
              <w:t>Пример в физике частиц: волновые функции нейтрона в гравитации Земли</w:t>
            </w:r>
          </w:p>
        </w:tc>
      </w:tr>
      <w:tr w:rsidR="00226A07" w:rsidRPr="00226A07" w14:paraId="13BE9E73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7A6BC702" w14:textId="77777777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Эксперимент </w:t>
            </w:r>
            <w:proofErr w:type="spellStart"/>
            <w:r>
              <w:t>qBounce</w:t>
            </w:r>
            <w:proofErr w:type="spellEnd"/>
            <w:r w:rsidRPr="00226A07">
              <w:rPr>
                <w:lang w:val="ru-RU"/>
              </w:rPr>
              <w:t xml:space="preserve"> использует </w:t>
            </w:r>
            <w:proofErr w:type="spellStart"/>
            <w:r w:rsidRPr="00226A07">
              <w:rPr>
                <w:lang w:val="ru-RU"/>
              </w:rPr>
              <w:t>ультрахолодные</w:t>
            </w:r>
            <w:proofErr w:type="spellEnd"/>
            <w:r w:rsidRPr="00226A07">
              <w:rPr>
                <w:lang w:val="ru-RU"/>
              </w:rPr>
              <w:t xml:space="preserve"> нейтроны для высокоточных измерений квантовых состояний в гравитационном поле Земли.</w:t>
            </w:r>
          </w:p>
        </w:tc>
      </w:tr>
      <w:tr w:rsidR="00226A07" w14:paraId="7C3E38AB" w14:textId="77777777" w:rsidTr="00226A07">
        <w:trPr>
          <w:jc w:val="center"/>
        </w:trPr>
        <w:tc>
          <w:tcPr>
            <w:tcW w:w="9865" w:type="dxa"/>
            <w:shd w:val="clear" w:color="auto" w:fill="F7F9FC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072A48F9" w14:textId="77777777" w:rsidR="00226A07" w:rsidRDefault="00226A07" w:rsidP="00226A07">
            <w:pPr>
              <w:spacing w:after="40" w:line="257" w:lineRule="auto"/>
              <w:jc w:val="both"/>
            </w:pPr>
            <w:r>
              <w:rPr>
                <w:b/>
                <w:sz w:val="21"/>
              </w:rPr>
              <w:t>КЛЮЧЕВЫЕ ПОКАЗАТЕЛИ ILL</w:t>
            </w:r>
          </w:p>
        </w:tc>
      </w:tr>
      <w:tr w:rsidR="00226A07" w:rsidRPr="00226A07" w14:paraId="2C9BC5E0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0466740A" w14:textId="77777777" w:rsidR="00226A07" w:rsidRPr="00226A07" w:rsidRDefault="00226A07" w:rsidP="00226A07">
            <w:pPr>
              <w:spacing w:after="40" w:line="257" w:lineRule="auto"/>
              <w:ind w:left="187" w:hanging="187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• Годовой доход: 100 млн евро</w:t>
            </w:r>
          </w:p>
          <w:p w14:paraId="697E61D2" w14:textId="77777777" w:rsidR="00226A07" w:rsidRPr="00226A07" w:rsidRDefault="00226A07" w:rsidP="00226A07">
            <w:pPr>
              <w:spacing w:after="40" w:line="257" w:lineRule="auto"/>
              <w:ind w:left="187" w:hanging="187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• Страны-участницы и ассоциированные страны: 13</w:t>
            </w:r>
          </w:p>
          <w:p w14:paraId="307BAC5A" w14:textId="77777777" w:rsidR="00226A07" w:rsidRPr="00226A07" w:rsidRDefault="00226A07" w:rsidP="00226A07">
            <w:pPr>
              <w:spacing w:after="40" w:line="257" w:lineRule="auto"/>
              <w:ind w:left="187" w:hanging="187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• Персонал: более 500 человек</w:t>
            </w:r>
          </w:p>
          <w:p w14:paraId="138FC43A" w14:textId="77777777" w:rsidR="00226A07" w:rsidRPr="00226A07" w:rsidRDefault="00226A07" w:rsidP="00226A07">
            <w:pPr>
              <w:spacing w:after="40" w:line="257" w:lineRule="auto"/>
              <w:ind w:left="187" w:hanging="187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• </w:t>
            </w:r>
            <w:r>
              <w:t>PhD</w:t>
            </w:r>
            <w:r w:rsidRPr="00226A07">
              <w:rPr>
                <w:lang w:val="ru-RU"/>
              </w:rPr>
              <w:t>-студенты: более 40</w:t>
            </w:r>
          </w:p>
          <w:p w14:paraId="0D679C25" w14:textId="77777777" w:rsidR="00226A07" w:rsidRPr="00226A07" w:rsidRDefault="00226A07" w:rsidP="00226A07">
            <w:pPr>
              <w:spacing w:after="40" w:line="257" w:lineRule="auto"/>
              <w:ind w:left="187" w:hanging="187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• Пользователи в год: 1400</w:t>
            </w:r>
          </w:p>
          <w:p w14:paraId="5ADDFE52" w14:textId="77777777" w:rsidR="00226A07" w:rsidRPr="00226A07" w:rsidRDefault="00226A07" w:rsidP="00226A07">
            <w:pPr>
              <w:spacing w:after="40" w:line="257" w:lineRule="auto"/>
              <w:ind w:left="187" w:hanging="187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• Активное пользовательское сообщество: 12 000 учёных</w:t>
            </w:r>
          </w:p>
          <w:p w14:paraId="1172898D" w14:textId="77777777" w:rsidR="00226A07" w:rsidRPr="00226A07" w:rsidRDefault="00226A07" w:rsidP="00226A07">
            <w:pPr>
              <w:spacing w:after="40" w:line="257" w:lineRule="auto"/>
              <w:ind w:left="187" w:hanging="187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• Открытые научные установки: более 40</w:t>
            </w:r>
          </w:p>
          <w:p w14:paraId="7213A011" w14:textId="77777777" w:rsidR="00226A07" w:rsidRPr="00226A07" w:rsidRDefault="00226A07" w:rsidP="00226A07">
            <w:pPr>
              <w:spacing w:after="40" w:line="257" w:lineRule="auto"/>
              <w:ind w:left="187" w:hanging="187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• Страны: 65</w:t>
            </w:r>
          </w:p>
          <w:p w14:paraId="75F08EB4" w14:textId="77777777" w:rsidR="00226A07" w:rsidRPr="00226A07" w:rsidRDefault="00226A07" w:rsidP="00226A07">
            <w:pPr>
              <w:spacing w:after="40" w:line="257" w:lineRule="auto"/>
              <w:ind w:left="187" w:hanging="187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• Эксперименты в год: 1000 за 160 реакторных дней</w:t>
            </w:r>
          </w:p>
          <w:p w14:paraId="289F8A33" w14:textId="77777777" w:rsidR="00226A07" w:rsidRPr="00226A07" w:rsidRDefault="00226A07" w:rsidP="00226A07">
            <w:pPr>
              <w:spacing w:after="40" w:line="257" w:lineRule="auto"/>
              <w:ind w:left="187" w:hanging="187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• Публикации в год: 500</w:t>
            </w:r>
          </w:p>
          <w:p w14:paraId="0B859548" w14:textId="77777777" w:rsidR="00226A07" w:rsidRPr="00226A07" w:rsidRDefault="00226A07" w:rsidP="00226A07">
            <w:pPr>
              <w:spacing w:after="40" w:line="257" w:lineRule="auto"/>
              <w:ind w:left="187" w:hanging="187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• Доля публикаций высокого уровня: 20%</w:t>
            </w:r>
          </w:p>
          <w:p w14:paraId="1EBC9AF6" w14:textId="77777777" w:rsidR="00226A07" w:rsidRPr="00226A07" w:rsidRDefault="00226A07" w:rsidP="00226A07">
            <w:pPr>
              <w:spacing w:after="40" w:line="257" w:lineRule="auto"/>
              <w:ind w:left="187" w:hanging="187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• Публикации с 1973 года: 25 000</w:t>
            </w:r>
          </w:p>
          <w:p w14:paraId="4491A4DC" w14:textId="77777777" w:rsidR="00226A07" w:rsidRPr="00226A07" w:rsidRDefault="00226A07" w:rsidP="00226A07">
            <w:pPr>
              <w:spacing w:after="40" w:line="257" w:lineRule="auto"/>
              <w:ind w:left="187" w:hanging="187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• Эксперименты, связанные с промышленностью: 20%</w:t>
            </w:r>
          </w:p>
          <w:p w14:paraId="226E6F6E" w14:textId="77777777" w:rsidR="00226A07" w:rsidRPr="00226A07" w:rsidRDefault="00226A07" w:rsidP="00226A07">
            <w:pPr>
              <w:spacing w:after="40" w:line="257" w:lineRule="auto"/>
              <w:ind w:left="187" w:hanging="187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>• Компании, вовлечённые за 10 лет: более 100</w:t>
            </w:r>
          </w:p>
          <w:p w14:paraId="01B58AD5" w14:textId="7E1669DB" w:rsidR="00226A07" w:rsidRPr="00226A07" w:rsidRDefault="00226A07" w:rsidP="00226A07">
            <w:pPr>
              <w:spacing w:after="40" w:line="257" w:lineRule="auto"/>
              <w:ind w:left="187" w:hanging="187"/>
              <w:jc w:val="both"/>
              <w:rPr>
                <w:lang w:val="ru-RU"/>
              </w:rPr>
            </w:pPr>
            <w:r w:rsidRPr="00226A07">
              <w:rPr>
                <w:lang w:val="ru-RU"/>
              </w:rPr>
              <w:t xml:space="preserve">• </w:t>
            </w:r>
            <w:r>
              <w:rPr>
                <w:lang w:val="ru-RU"/>
              </w:rPr>
              <w:t>Ко</w:t>
            </w:r>
            <w:r w:rsidRPr="00226A07">
              <w:rPr>
                <w:lang w:val="ru-RU"/>
              </w:rPr>
              <w:t>нкурентные исследования: 2,0 млн евро в год</w:t>
            </w:r>
          </w:p>
        </w:tc>
      </w:tr>
      <w:tr w:rsidR="00226A07" w14:paraId="7CCF8DD5" w14:textId="77777777" w:rsidTr="00226A07">
        <w:trPr>
          <w:jc w:val="center"/>
        </w:trPr>
        <w:tc>
          <w:tcPr>
            <w:tcW w:w="9865" w:type="dxa"/>
            <w:shd w:val="clear" w:color="auto" w:fill="F7F9FC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60537580" w14:textId="0BCA9D09" w:rsidR="00226A07" w:rsidRPr="00226A07" w:rsidRDefault="00226A07" w:rsidP="00226A07">
            <w:pPr>
              <w:spacing w:after="40" w:line="257" w:lineRule="auto"/>
              <w:jc w:val="both"/>
              <w:rPr>
                <w:lang w:val="ru-RU"/>
              </w:rPr>
            </w:pPr>
            <w:r>
              <w:rPr>
                <w:b/>
                <w:sz w:val="21"/>
                <w:lang w:val="ru-RU"/>
              </w:rPr>
              <w:t>КОНТАКТНЫЕ ДАННЫЕ</w:t>
            </w:r>
          </w:p>
        </w:tc>
      </w:tr>
      <w:tr w:rsidR="00226A07" w14:paraId="6FBA1CB6" w14:textId="77777777" w:rsidTr="00226A07">
        <w:trPr>
          <w:jc w:val="center"/>
        </w:trPr>
        <w:tc>
          <w:tcPr>
            <w:tcW w:w="9865" w:type="dxa"/>
            <w:tcMar>
              <w:top w:w="95" w:type="dxa"/>
              <w:left w:w="110" w:type="dxa"/>
              <w:bottom w:w="95" w:type="dxa"/>
              <w:right w:w="110" w:type="dxa"/>
            </w:tcMar>
          </w:tcPr>
          <w:p w14:paraId="1002B9B2" w14:textId="77777777" w:rsidR="00226A07" w:rsidRDefault="00226A07" w:rsidP="00226A07">
            <w:pPr>
              <w:spacing w:after="40" w:line="257" w:lineRule="auto"/>
              <w:jc w:val="both"/>
            </w:pPr>
            <w:proofErr w:type="spellStart"/>
            <w:r>
              <w:t>Institut</w:t>
            </w:r>
            <w:proofErr w:type="spellEnd"/>
            <w:r>
              <w:t xml:space="preserve"> Laue Langevin</w:t>
            </w:r>
          </w:p>
          <w:p w14:paraId="539AA181" w14:textId="77777777" w:rsidR="00226A07" w:rsidRDefault="00226A07" w:rsidP="00226A07">
            <w:pPr>
              <w:spacing w:after="40" w:line="257" w:lineRule="auto"/>
              <w:jc w:val="both"/>
            </w:pPr>
            <w:r>
              <w:t>71 avenue des Martyrs, 38000 Grenoble, France</w:t>
            </w:r>
          </w:p>
          <w:p w14:paraId="6E32A269" w14:textId="77777777" w:rsidR="00226A07" w:rsidRDefault="00226A07" w:rsidP="00226A07">
            <w:pPr>
              <w:spacing w:after="40" w:line="257" w:lineRule="auto"/>
              <w:jc w:val="both"/>
            </w:pPr>
            <w:r>
              <w:t>communication@ill.eu</w:t>
            </w:r>
          </w:p>
          <w:p w14:paraId="278D7A1A" w14:textId="77777777" w:rsidR="00226A07" w:rsidRDefault="00226A07" w:rsidP="00226A07">
            <w:pPr>
              <w:spacing w:after="40" w:line="257" w:lineRule="auto"/>
              <w:jc w:val="both"/>
            </w:pPr>
            <w:r>
              <w:t>www.ill.eu</w:t>
            </w:r>
          </w:p>
          <w:p w14:paraId="7991F6E8" w14:textId="77777777" w:rsidR="00226A07" w:rsidRDefault="00226A07" w:rsidP="00226A07">
            <w:pPr>
              <w:spacing w:after="40" w:line="257" w:lineRule="auto"/>
              <w:jc w:val="both"/>
            </w:pPr>
            <w:r>
              <w:t>Дизайн: Virginie Guerard</w:t>
            </w:r>
          </w:p>
        </w:tc>
      </w:tr>
    </w:tbl>
    <w:p w14:paraId="51EC6AD3" w14:textId="77777777" w:rsidR="00083813" w:rsidRDefault="00083813" w:rsidP="00226A07">
      <w:pPr>
        <w:jc w:val="both"/>
      </w:pPr>
    </w:p>
    <w:sectPr w:rsidR="00083813" w:rsidSect="00226A07">
      <w:footerReference w:type="default" r:id="rId8"/>
      <w:pgSz w:w="11906" w:h="16838"/>
      <w:pgMar w:top="792" w:right="792" w:bottom="792" w:left="792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64DE" w14:textId="77777777" w:rsidR="00083813" w:rsidRDefault="00083813">
      <w:pPr>
        <w:spacing w:after="0" w:line="240" w:lineRule="auto"/>
      </w:pPr>
      <w:r>
        <w:separator/>
      </w:r>
    </w:p>
  </w:endnote>
  <w:endnote w:type="continuationSeparator" w:id="0">
    <w:p w14:paraId="6F638623" w14:textId="77777777" w:rsidR="00083813" w:rsidRDefault="0008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6640" w14:textId="1CE01AD1" w:rsidR="00CB0B7A" w:rsidRDefault="00CB0B7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A391" w14:textId="77777777" w:rsidR="00083813" w:rsidRDefault="00083813">
      <w:pPr>
        <w:spacing w:after="0" w:line="240" w:lineRule="auto"/>
      </w:pPr>
      <w:r>
        <w:separator/>
      </w:r>
    </w:p>
  </w:footnote>
  <w:footnote w:type="continuationSeparator" w:id="0">
    <w:p w14:paraId="72BB6747" w14:textId="77777777" w:rsidR="00083813" w:rsidRDefault="00083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428277">
    <w:abstractNumId w:val="8"/>
  </w:num>
  <w:num w:numId="2" w16cid:durableId="28378705">
    <w:abstractNumId w:val="6"/>
  </w:num>
  <w:num w:numId="3" w16cid:durableId="1503815503">
    <w:abstractNumId w:val="5"/>
  </w:num>
  <w:num w:numId="4" w16cid:durableId="441847054">
    <w:abstractNumId w:val="4"/>
  </w:num>
  <w:num w:numId="5" w16cid:durableId="1696036834">
    <w:abstractNumId w:val="7"/>
  </w:num>
  <w:num w:numId="6" w16cid:durableId="1821995574">
    <w:abstractNumId w:val="3"/>
  </w:num>
  <w:num w:numId="7" w16cid:durableId="1484858691">
    <w:abstractNumId w:val="2"/>
  </w:num>
  <w:num w:numId="8" w16cid:durableId="1432235755">
    <w:abstractNumId w:val="1"/>
  </w:num>
  <w:num w:numId="9" w16cid:durableId="76311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813"/>
    <w:rsid w:val="0015074B"/>
    <w:rsid w:val="00226A07"/>
    <w:rsid w:val="0029639D"/>
    <w:rsid w:val="00326F90"/>
    <w:rsid w:val="00AA1D8D"/>
    <w:rsid w:val="00B07DB1"/>
    <w:rsid w:val="00B47730"/>
    <w:rsid w:val="00CB0664"/>
    <w:rsid w:val="00CB0B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A2CAD"/>
  <w14:defaultImageDpi w14:val="300"/>
  <w15:docId w15:val="{4800D464-0DCD-4DEC-80C8-200300E1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Anastassiya Uspenskaya</cp:lastModifiedBy>
  <cp:revision>2</cp:revision>
  <dcterms:created xsi:type="dcterms:W3CDTF">2013-12-23T23:15:00Z</dcterms:created>
  <dcterms:modified xsi:type="dcterms:W3CDTF">2026-03-20T04:33:00Z</dcterms:modified>
  <cp:category/>
</cp:coreProperties>
</file>