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B55AE" w14:textId="40DB1D3E" w:rsidR="008D370C" w:rsidRPr="00A20021" w:rsidRDefault="00045D86" w:rsidP="00F26281">
      <w:pPr>
        <w:spacing w:after="0" w:line="240" w:lineRule="auto"/>
        <w:ind w:left="1701" w:right="851"/>
        <w:jc w:val="center"/>
        <w:rPr>
          <w:rFonts w:ascii="Times New Roman" w:hAnsi="Times New Roman" w:cs="Times New Roman"/>
          <w:b/>
          <w:sz w:val="20"/>
          <w:szCs w:val="20"/>
          <w:lang w:val="kk-KZ"/>
        </w:rPr>
      </w:pPr>
      <w:r w:rsidRPr="00045D86">
        <w:rPr>
          <w:rFonts w:ascii="Times New Roman" w:hAnsi="Times New Roman" w:cs="Times New Roman"/>
          <w:b/>
          <w:sz w:val="20"/>
          <w:szCs w:val="20"/>
          <w:lang w:val="kk-KZ"/>
        </w:rPr>
        <w:t>INVESTIGATION OF HIGH-ENERGY MUON INTERACTIONS IN EXTENSIVE AIR SHOWERS USING SCINTILLATION HODOSCOPES</w:t>
      </w:r>
    </w:p>
    <w:p w14:paraId="49C2F876" w14:textId="77777777" w:rsidR="008D370C" w:rsidRPr="00A20021" w:rsidRDefault="008D370C" w:rsidP="00F26281">
      <w:pPr>
        <w:spacing w:after="0" w:line="240" w:lineRule="auto"/>
        <w:ind w:left="1701" w:right="851"/>
        <w:jc w:val="center"/>
        <w:rPr>
          <w:rFonts w:ascii="Times New Roman" w:hAnsi="Times New Roman" w:cs="Times New Roman"/>
          <w:b/>
          <w:sz w:val="20"/>
          <w:szCs w:val="20"/>
          <w:lang w:val="kk-KZ"/>
        </w:rPr>
      </w:pPr>
    </w:p>
    <w:p w14:paraId="45295006" w14:textId="48C6584E" w:rsidR="00E75896" w:rsidRPr="00A07E0B" w:rsidRDefault="00E75896" w:rsidP="00F26281">
      <w:pPr>
        <w:autoSpaceDE w:val="0"/>
        <w:autoSpaceDN w:val="0"/>
        <w:adjustRightInd w:val="0"/>
        <w:spacing w:after="0" w:line="240" w:lineRule="auto"/>
        <w:ind w:left="1701" w:right="851"/>
        <w:jc w:val="center"/>
        <w:rPr>
          <w:rFonts w:ascii="Times New Roman" w:eastAsia="MS Mincho" w:hAnsi="Times New Roman" w:cs="Times New Roman"/>
          <w:i/>
          <w:sz w:val="20"/>
          <w:szCs w:val="20"/>
          <w:lang w:val="en-US"/>
        </w:rPr>
      </w:pPr>
      <w:r w:rsidRPr="00550736">
        <w:rPr>
          <w:rFonts w:ascii="Times New Roman" w:eastAsia="MS Mincho" w:hAnsi="Times New Roman" w:cs="Times New Roman"/>
          <w:i/>
          <w:sz w:val="20"/>
          <w:szCs w:val="20"/>
          <w:lang w:val="kk-KZ"/>
        </w:rPr>
        <w:t>Utey Sh.</w:t>
      </w:r>
      <w:r w:rsidRPr="000E3D7C">
        <w:rPr>
          <w:rFonts w:ascii="Times New Roman" w:eastAsia="MS Mincho" w:hAnsi="Times New Roman" w:cs="Times New Roman"/>
          <w:i/>
          <w:sz w:val="20"/>
          <w:szCs w:val="20"/>
          <w:vertAlign w:val="superscript"/>
          <w:lang w:val="kk-KZ"/>
        </w:rPr>
        <w:t>1,</w:t>
      </w:r>
      <w:r w:rsidRPr="00FA386F">
        <w:rPr>
          <w:rFonts w:ascii="Times New Roman" w:eastAsia="MS Mincho" w:hAnsi="Times New Roman" w:cs="Times New Roman"/>
          <w:i/>
          <w:sz w:val="20"/>
          <w:szCs w:val="20"/>
          <w:vertAlign w:val="superscript"/>
          <w:lang w:val="kk-KZ"/>
        </w:rPr>
        <w:t>2</w:t>
      </w:r>
      <w:r w:rsidRPr="00A20021">
        <w:rPr>
          <w:rFonts w:ascii="Times New Roman" w:eastAsia="MS Mincho" w:hAnsi="Times New Roman" w:cs="Times New Roman"/>
          <w:i/>
          <w:sz w:val="20"/>
          <w:szCs w:val="20"/>
          <w:lang w:val="kk-KZ"/>
        </w:rPr>
        <w:t xml:space="preserve">, </w:t>
      </w:r>
      <w:r w:rsidRPr="00550736">
        <w:rPr>
          <w:rFonts w:ascii="Times New Roman" w:eastAsia="MS Mincho" w:hAnsi="Times New Roman" w:cs="Times New Roman"/>
          <w:i/>
          <w:sz w:val="20"/>
          <w:szCs w:val="20"/>
          <w:lang w:val="kk-KZ"/>
        </w:rPr>
        <w:t xml:space="preserve">Kalikulov </w:t>
      </w:r>
      <w:r w:rsidRPr="00FA386F">
        <w:rPr>
          <w:rFonts w:ascii="Times New Roman" w:eastAsia="MS Mincho" w:hAnsi="Times New Roman" w:cs="Times New Roman"/>
          <w:i/>
          <w:sz w:val="20"/>
          <w:szCs w:val="20"/>
          <w:lang w:val="kk-KZ"/>
        </w:rPr>
        <w:t>O.</w:t>
      </w:r>
      <w:r w:rsidRPr="00FA386F">
        <w:rPr>
          <w:rFonts w:ascii="Times New Roman" w:eastAsia="MS Mincho" w:hAnsi="Times New Roman" w:cs="Times New Roman"/>
          <w:i/>
          <w:sz w:val="20"/>
          <w:szCs w:val="20"/>
          <w:vertAlign w:val="superscript"/>
          <w:lang w:val="kk-KZ"/>
        </w:rPr>
        <w:t>1</w:t>
      </w:r>
      <w:r w:rsidRPr="00A20021">
        <w:rPr>
          <w:rFonts w:ascii="Times New Roman" w:eastAsia="MS Mincho" w:hAnsi="Times New Roman" w:cs="Times New Roman"/>
          <w:i/>
          <w:sz w:val="20"/>
          <w:szCs w:val="20"/>
          <w:lang w:val="kk-KZ"/>
        </w:rPr>
        <w:t xml:space="preserve">, </w:t>
      </w:r>
      <w:r w:rsidRPr="00550736">
        <w:rPr>
          <w:rFonts w:ascii="Times New Roman" w:eastAsia="MS Mincho" w:hAnsi="Times New Roman" w:cs="Times New Roman"/>
          <w:i/>
          <w:sz w:val="20"/>
          <w:szCs w:val="20"/>
          <w:lang w:val="kk-KZ"/>
        </w:rPr>
        <w:t>Saduyev N.</w:t>
      </w:r>
      <w:r w:rsidRPr="00A20021">
        <w:rPr>
          <w:rFonts w:ascii="Times New Roman" w:eastAsia="MS Mincho" w:hAnsi="Times New Roman" w:cs="Times New Roman"/>
          <w:i/>
          <w:sz w:val="20"/>
          <w:szCs w:val="20"/>
          <w:vertAlign w:val="superscript"/>
          <w:lang w:val="kk-KZ"/>
        </w:rPr>
        <w:t>1</w:t>
      </w:r>
      <w:r w:rsidRPr="00550736">
        <w:rPr>
          <w:rFonts w:ascii="Times New Roman" w:eastAsia="MS Mincho" w:hAnsi="Times New Roman" w:cs="Times New Roman"/>
          <w:i/>
          <w:sz w:val="20"/>
          <w:szCs w:val="20"/>
          <w:lang w:val="kk-KZ"/>
        </w:rPr>
        <w:t>, Yerezhep N.</w:t>
      </w:r>
      <w:r w:rsidRPr="00A20021">
        <w:rPr>
          <w:rFonts w:ascii="Times New Roman" w:eastAsia="MS Mincho" w:hAnsi="Times New Roman" w:cs="Times New Roman"/>
          <w:i/>
          <w:sz w:val="20"/>
          <w:szCs w:val="20"/>
          <w:vertAlign w:val="superscript"/>
          <w:lang w:val="kk-KZ"/>
        </w:rPr>
        <w:t>1</w:t>
      </w:r>
      <w:r w:rsidRPr="00550736">
        <w:rPr>
          <w:rFonts w:ascii="Times New Roman" w:eastAsia="MS Mincho" w:hAnsi="Times New Roman" w:cs="Times New Roman"/>
          <w:i/>
          <w:sz w:val="20"/>
          <w:szCs w:val="20"/>
          <w:lang w:val="kk-KZ"/>
        </w:rPr>
        <w:t>, Shinbulatov S.</w:t>
      </w:r>
      <w:r w:rsidRPr="00A20021">
        <w:rPr>
          <w:rFonts w:ascii="Times New Roman" w:eastAsia="MS Mincho" w:hAnsi="Times New Roman" w:cs="Times New Roman"/>
          <w:i/>
          <w:sz w:val="20"/>
          <w:szCs w:val="20"/>
          <w:vertAlign w:val="superscript"/>
          <w:lang w:val="kk-KZ"/>
        </w:rPr>
        <w:t>1</w:t>
      </w:r>
      <w:r w:rsidRPr="00FA386F">
        <w:rPr>
          <w:rFonts w:ascii="Times New Roman" w:eastAsia="MS Mincho" w:hAnsi="Times New Roman" w:cs="Times New Roman"/>
          <w:i/>
          <w:sz w:val="20"/>
          <w:szCs w:val="20"/>
          <w:vertAlign w:val="superscript"/>
          <w:lang w:val="kk-KZ"/>
        </w:rPr>
        <w:t>,2</w:t>
      </w:r>
      <w:r w:rsidRPr="00550736">
        <w:rPr>
          <w:rFonts w:ascii="Times New Roman" w:eastAsia="MS Mincho" w:hAnsi="Times New Roman" w:cs="Times New Roman"/>
          <w:i/>
          <w:sz w:val="20"/>
          <w:szCs w:val="20"/>
          <w:lang w:val="kk-KZ"/>
        </w:rPr>
        <w:t>, Baktoraz A</w:t>
      </w:r>
      <w:r w:rsidRPr="00A20021">
        <w:rPr>
          <w:rFonts w:ascii="Times New Roman" w:eastAsia="MS Mincho" w:hAnsi="Times New Roman" w:cs="Times New Roman"/>
          <w:i/>
          <w:sz w:val="20"/>
          <w:szCs w:val="20"/>
          <w:lang w:val="kk-KZ"/>
        </w:rPr>
        <w:t>.</w:t>
      </w:r>
      <w:r w:rsidRPr="00A20021">
        <w:rPr>
          <w:rFonts w:ascii="Times New Roman" w:eastAsia="MS Mincho" w:hAnsi="Times New Roman" w:cs="Times New Roman"/>
          <w:i/>
          <w:sz w:val="20"/>
          <w:szCs w:val="20"/>
          <w:vertAlign w:val="superscript"/>
          <w:lang w:val="kk-KZ"/>
        </w:rPr>
        <w:t>1</w:t>
      </w:r>
      <w:r w:rsidRPr="000E3D7C">
        <w:rPr>
          <w:rFonts w:ascii="Times New Roman" w:eastAsia="MS Mincho" w:hAnsi="Times New Roman" w:cs="Times New Roman"/>
          <w:i/>
          <w:sz w:val="20"/>
          <w:szCs w:val="20"/>
          <w:lang w:val="kk-KZ"/>
        </w:rPr>
        <w:t>,</w:t>
      </w:r>
      <w:r>
        <w:rPr>
          <w:rFonts w:ascii="Times New Roman" w:eastAsia="MS Mincho" w:hAnsi="Times New Roman" w:cs="Times New Roman"/>
          <w:i/>
          <w:sz w:val="20"/>
          <w:szCs w:val="20"/>
          <w:lang w:val="kk-KZ"/>
        </w:rPr>
        <w:t xml:space="preserve"> </w:t>
      </w:r>
      <w:r w:rsidRPr="00A07E0B">
        <w:rPr>
          <w:rFonts w:ascii="Times New Roman" w:eastAsia="MS Mincho" w:hAnsi="Times New Roman" w:cs="Times New Roman"/>
          <w:i/>
          <w:sz w:val="20"/>
          <w:szCs w:val="20"/>
          <w:vertAlign w:val="subscript"/>
          <w:lang w:val="kk-KZ"/>
        </w:rPr>
        <w:t>,</w:t>
      </w:r>
      <w:r w:rsidRPr="00A07E0B">
        <w:rPr>
          <w:lang w:val="kk-KZ"/>
        </w:rPr>
        <w:t xml:space="preserve"> </w:t>
      </w:r>
      <w:r w:rsidRPr="00A07E0B">
        <w:rPr>
          <w:rFonts w:ascii="Times New Roman" w:eastAsia="MS Mincho" w:hAnsi="Times New Roman" w:cs="Times New Roman"/>
          <w:i/>
          <w:sz w:val="20"/>
          <w:szCs w:val="20"/>
          <w:lang w:val="kk-KZ"/>
        </w:rPr>
        <w:t>Sopko</w:t>
      </w:r>
      <w:r>
        <w:rPr>
          <w:rFonts w:ascii="Times New Roman" w:eastAsia="MS Mincho" w:hAnsi="Times New Roman" w:cs="Times New Roman"/>
          <w:i/>
          <w:sz w:val="20"/>
          <w:szCs w:val="20"/>
          <w:lang w:val="kk-KZ"/>
        </w:rPr>
        <w:t xml:space="preserve"> </w:t>
      </w:r>
      <w:r>
        <w:rPr>
          <w:rFonts w:ascii="Times New Roman" w:eastAsia="MS Mincho" w:hAnsi="Times New Roman" w:cs="Times New Roman"/>
          <w:i/>
          <w:sz w:val="20"/>
          <w:szCs w:val="20"/>
          <w:lang w:val="en-US"/>
        </w:rPr>
        <w:t xml:space="preserve">I </w:t>
      </w:r>
      <w:r w:rsidRPr="00A07E0B">
        <w:rPr>
          <w:rFonts w:ascii="Times New Roman" w:eastAsia="MS Mincho" w:hAnsi="Times New Roman" w:cs="Times New Roman"/>
          <w:i/>
          <w:sz w:val="20"/>
          <w:szCs w:val="20"/>
          <w:vertAlign w:val="superscript"/>
          <w:lang w:val="en-US"/>
        </w:rPr>
        <w:t>2</w:t>
      </w:r>
      <w:r w:rsidRPr="00A07E0B">
        <w:rPr>
          <w:rFonts w:ascii="Times New Roman" w:eastAsia="MS Mincho" w:hAnsi="Times New Roman" w:cs="Times New Roman"/>
          <w:i/>
          <w:sz w:val="20"/>
          <w:szCs w:val="20"/>
          <w:lang w:val="en-US"/>
        </w:rPr>
        <w:t>.</w:t>
      </w:r>
    </w:p>
    <w:p w14:paraId="5E4BEC11" w14:textId="77777777" w:rsidR="008D370C" w:rsidRPr="00E75896" w:rsidRDefault="008D370C" w:rsidP="00F26281">
      <w:pPr>
        <w:autoSpaceDE w:val="0"/>
        <w:autoSpaceDN w:val="0"/>
        <w:adjustRightInd w:val="0"/>
        <w:spacing w:after="0" w:line="240" w:lineRule="auto"/>
        <w:ind w:left="1701" w:right="851"/>
        <w:jc w:val="center"/>
        <w:rPr>
          <w:rFonts w:ascii="Times New Roman" w:eastAsia="Calibri" w:hAnsi="Times New Roman" w:cs="Times New Roman"/>
          <w:iCs/>
          <w:sz w:val="20"/>
          <w:szCs w:val="20"/>
          <w:lang w:val="en-US"/>
        </w:rPr>
      </w:pPr>
    </w:p>
    <w:p w14:paraId="18A4270B" w14:textId="77777777" w:rsidR="00E75896" w:rsidRPr="00FA386F" w:rsidRDefault="00E75896" w:rsidP="00F26281">
      <w:pPr>
        <w:autoSpaceDE w:val="0"/>
        <w:autoSpaceDN w:val="0"/>
        <w:adjustRightInd w:val="0"/>
        <w:spacing w:after="0" w:line="240" w:lineRule="auto"/>
        <w:ind w:left="1701" w:right="851"/>
        <w:jc w:val="center"/>
        <w:rPr>
          <w:rFonts w:ascii="Times New Roman" w:eastAsia="MS Mincho" w:hAnsi="Times New Roman" w:cs="Times New Roman"/>
          <w:iCs/>
          <w:sz w:val="20"/>
          <w:szCs w:val="20"/>
          <w:lang w:val="en-US"/>
        </w:rPr>
      </w:pPr>
      <w:r w:rsidRPr="0074100A">
        <w:rPr>
          <w:rFonts w:ascii="Times New Roman" w:eastAsia="MS Mincho" w:hAnsi="Times New Roman" w:cs="Times New Roman"/>
          <w:iCs/>
          <w:sz w:val="20"/>
          <w:szCs w:val="20"/>
          <w:vertAlign w:val="superscript"/>
          <w:lang w:val="en-US"/>
        </w:rPr>
        <w:t>1</w:t>
      </w:r>
      <w:r>
        <w:rPr>
          <w:rFonts w:ascii="Times New Roman" w:eastAsia="MS Mincho" w:hAnsi="Times New Roman" w:cs="Times New Roman"/>
          <w:iCs/>
          <w:sz w:val="20"/>
          <w:szCs w:val="20"/>
          <w:lang w:val="en-US"/>
        </w:rPr>
        <w:t>Institute of Nuclear Physics</w:t>
      </w:r>
      <w:r w:rsidRPr="0074100A">
        <w:rPr>
          <w:rFonts w:ascii="Times New Roman" w:eastAsia="MS Mincho" w:hAnsi="Times New Roman" w:cs="Times New Roman"/>
          <w:iCs/>
          <w:sz w:val="20"/>
          <w:szCs w:val="20"/>
          <w:lang w:val="kk-KZ"/>
        </w:rPr>
        <w:t xml:space="preserve">, </w:t>
      </w:r>
      <w:r>
        <w:rPr>
          <w:rFonts w:ascii="Times New Roman" w:eastAsia="MS Mincho" w:hAnsi="Times New Roman" w:cs="Times New Roman"/>
          <w:iCs/>
          <w:sz w:val="20"/>
          <w:szCs w:val="20"/>
          <w:lang w:val="en-US"/>
        </w:rPr>
        <w:t>Almaty</w:t>
      </w:r>
      <w:r w:rsidRPr="0074100A">
        <w:rPr>
          <w:rFonts w:ascii="Times New Roman" w:eastAsia="MS Mincho" w:hAnsi="Times New Roman" w:cs="Times New Roman"/>
          <w:iCs/>
          <w:sz w:val="20"/>
          <w:szCs w:val="20"/>
          <w:lang w:val="kk-KZ"/>
        </w:rPr>
        <w:t xml:space="preserve">, </w:t>
      </w:r>
      <w:r>
        <w:rPr>
          <w:rFonts w:ascii="Times New Roman" w:eastAsia="MS Mincho" w:hAnsi="Times New Roman" w:cs="Times New Roman"/>
          <w:iCs/>
          <w:sz w:val="20"/>
          <w:szCs w:val="20"/>
          <w:lang w:val="en-US"/>
        </w:rPr>
        <w:t>Kazakhstan</w:t>
      </w:r>
    </w:p>
    <w:p w14:paraId="6C7A9C85" w14:textId="77777777" w:rsidR="00E75896" w:rsidRPr="00FA386F" w:rsidRDefault="00E75896" w:rsidP="00F26281">
      <w:pPr>
        <w:autoSpaceDE w:val="0"/>
        <w:autoSpaceDN w:val="0"/>
        <w:adjustRightInd w:val="0"/>
        <w:spacing w:after="0" w:line="240" w:lineRule="auto"/>
        <w:ind w:left="1701" w:right="851"/>
        <w:jc w:val="center"/>
        <w:rPr>
          <w:rFonts w:ascii="Times New Roman" w:eastAsia="MS Mincho" w:hAnsi="Times New Roman" w:cs="Times New Roman"/>
          <w:iCs/>
          <w:sz w:val="20"/>
          <w:szCs w:val="20"/>
          <w:lang w:val="en-US"/>
        </w:rPr>
      </w:pPr>
      <w:r w:rsidRPr="0074100A">
        <w:rPr>
          <w:rFonts w:ascii="Times New Roman" w:eastAsia="MS Mincho" w:hAnsi="Times New Roman" w:cs="Times New Roman"/>
          <w:iCs/>
          <w:sz w:val="20"/>
          <w:szCs w:val="20"/>
          <w:vertAlign w:val="superscript"/>
          <w:lang w:val="en-US"/>
        </w:rPr>
        <w:t>2</w:t>
      </w:r>
      <w:r>
        <w:rPr>
          <w:rFonts w:ascii="Times New Roman" w:eastAsia="MS Mincho" w:hAnsi="Times New Roman" w:cs="Times New Roman"/>
          <w:iCs/>
          <w:sz w:val="20"/>
          <w:szCs w:val="20"/>
          <w:lang w:val="en-US"/>
        </w:rPr>
        <w:t>al-Farabi Kazakh National University</w:t>
      </w:r>
      <w:r w:rsidRPr="0074100A">
        <w:rPr>
          <w:rFonts w:ascii="Times New Roman" w:eastAsia="MS Mincho" w:hAnsi="Times New Roman" w:cs="Times New Roman"/>
          <w:iCs/>
          <w:sz w:val="20"/>
          <w:szCs w:val="20"/>
          <w:lang w:val="kk-KZ"/>
        </w:rPr>
        <w:t xml:space="preserve">, </w:t>
      </w:r>
      <w:r>
        <w:rPr>
          <w:rFonts w:ascii="Times New Roman" w:eastAsia="MS Mincho" w:hAnsi="Times New Roman" w:cs="Times New Roman"/>
          <w:iCs/>
          <w:sz w:val="20"/>
          <w:szCs w:val="20"/>
          <w:lang w:val="en-US"/>
        </w:rPr>
        <w:t>Almaty</w:t>
      </w:r>
      <w:r w:rsidRPr="0074100A">
        <w:rPr>
          <w:rFonts w:ascii="Times New Roman" w:eastAsia="MS Mincho" w:hAnsi="Times New Roman" w:cs="Times New Roman"/>
          <w:iCs/>
          <w:sz w:val="20"/>
          <w:szCs w:val="20"/>
          <w:lang w:val="kk-KZ"/>
        </w:rPr>
        <w:t xml:space="preserve">, </w:t>
      </w:r>
      <w:r>
        <w:rPr>
          <w:rFonts w:ascii="Times New Roman" w:eastAsia="MS Mincho" w:hAnsi="Times New Roman" w:cs="Times New Roman"/>
          <w:iCs/>
          <w:sz w:val="20"/>
          <w:szCs w:val="20"/>
          <w:lang w:val="en-US"/>
        </w:rPr>
        <w:t>Kazakhstan</w:t>
      </w:r>
    </w:p>
    <w:p w14:paraId="28950775" w14:textId="77777777" w:rsidR="008D370C" w:rsidRPr="00E75896" w:rsidRDefault="008D370C" w:rsidP="00F26281">
      <w:pPr>
        <w:spacing w:after="0" w:line="240" w:lineRule="auto"/>
        <w:ind w:left="1701" w:right="851"/>
        <w:jc w:val="center"/>
        <w:rPr>
          <w:rFonts w:ascii="Times New Roman" w:hAnsi="Times New Roman" w:cs="Times New Roman"/>
          <w:sz w:val="20"/>
          <w:szCs w:val="20"/>
          <w:lang w:val="en-US"/>
        </w:rPr>
      </w:pPr>
    </w:p>
    <w:p w14:paraId="784BD1D7" w14:textId="77777777" w:rsidR="0074100A" w:rsidRPr="008D370C" w:rsidRDefault="0074100A" w:rsidP="00F26281">
      <w:pPr>
        <w:spacing w:after="0" w:line="240" w:lineRule="auto"/>
        <w:ind w:left="1701" w:right="851"/>
        <w:jc w:val="center"/>
        <w:rPr>
          <w:rFonts w:ascii="Times New Roman" w:hAnsi="Times New Roman" w:cs="Times New Roman"/>
          <w:sz w:val="20"/>
          <w:szCs w:val="20"/>
          <w:lang w:val="kk-KZ"/>
        </w:rPr>
      </w:pPr>
    </w:p>
    <w:p w14:paraId="4E5D578D" w14:textId="5E38B26F" w:rsidR="00C7519D" w:rsidRPr="00C7519D" w:rsidRDefault="00C7519D" w:rsidP="00F26281">
      <w:pPr>
        <w:spacing w:after="0" w:line="240" w:lineRule="auto"/>
        <w:ind w:left="1701" w:right="851" w:firstLine="567"/>
        <w:jc w:val="both"/>
        <w:rPr>
          <w:rFonts w:ascii="Times New Roman" w:hAnsi="Times New Roman" w:cs="Times New Roman"/>
          <w:sz w:val="20"/>
          <w:szCs w:val="20"/>
          <w:lang w:val="kk-KZ"/>
        </w:rPr>
      </w:pPr>
      <w:r w:rsidRPr="00C7519D">
        <w:rPr>
          <w:rFonts w:ascii="Times New Roman" w:hAnsi="Times New Roman" w:cs="Times New Roman"/>
          <w:sz w:val="20"/>
          <w:szCs w:val="20"/>
          <w:lang w:val="kk-KZ"/>
        </w:rPr>
        <w:t>At the Tien-Shan High Altitude Scientific Station (TSHASS), experiments on registering the muon component of extensive air showers (EAS) in various energy ranges have always remained one of the main research directions. The station possesses the necessary infrastructure for these purposes: an underground tunnel and several large underground rooms designed to house muon detectors with various energy thresholds.</w:t>
      </w:r>
    </w:p>
    <w:p w14:paraId="063983C7" w14:textId="58D26A41" w:rsidR="008D370C" w:rsidRPr="00653740" w:rsidRDefault="00C7519D" w:rsidP="00F26281">
      <w:pPr>
        <w:spacing w:after="0" w:line="240" w:lineRule="auto"/>
        <w:ind w:left="1701" w:right="851" w:firstLine="567"/>
        <w:jc w:val="both"/>
        <w:rPr>
          <w:rFonts w:ascii="Times New Roman" w:hAnsi="Times New Roman" w:cs="Times New Roman"/>
          <w:sz w:val="20"/>
          <w:szCs w:val="20"/>
          <w:lang w:val="en-US"/>
        </w:rPr>
      </w:pPr>
      <w:r w:rsidRPr="00C7519D">
        <w:rPr>
          <w:rFonts w:ascii="Times New Roman" w:hAnsi="Times New Roman" w:cs="Times New Roman"/>
          <w:sz w:val="20"/>
          <w:szCs w:val="20"/>
          <w:lang w:val="kk-KZ"/>
        </w:rPr>
        <w:t>Currently, a muon hodoscope has been created in the underground facility of TSHASS—a system of synchronously operating large-area scintillation detectors covering an available area of 50-60 square meters, designed for the direct measurement of the spatial distribution of high-energy muon flux density in the cores of powerful EAS. This paper presents the characteristics of the muon hodoscope, as well as the current state of the detectors and the initial data on the muon distribution obtained.</w:t>
      </w:r>
    </w:p>
    <w:p w14:paraId="67812502" w14:textId="77777777" w:rsidR="008D370C" w:rsidRPr="00C7519D" w:rsidRDefault="008D370C" w:rsidP="00F26281">
      <w:pPr>
        <w:spacing w:after="0" w:line="240" w:lineRule="auto"/>
        <w:ind w:left="1701" w:right="851" w:firstLine="567"/>
        <w:jc w:val="both"/>
        <w:rPr>
          <w:rFonts w:ascii="Times New Roman" w:hAnsi="Times New Roman" w:cs="Times New Roman"/>
          <w:sz w:val="20"/>
          <w:szCs w:val="20"/>
          <w:lang w:val="kk-KZ"/>
        </w:rPr>
      </w:pPr>
    </w:p>
    <w:p w14:paraId="6075B503" w14:textId="77777777" w:rsidR="008D370C" w:rsidRPr="00F26281" w:rsidRDefault="008D370C" w:rsidP="00F26281">
      <w:pPr>
        <w:spacing w:after="0" w:line="240" w:lineRule="auto"/>
        <w:ind w:left="1701" w:right="851" w:firstLine="567"/>
        <w:jc w:val="both"/>
        <w:rPr>
          <w:rFonts w:ascii="Times New Roman" w:hAnsi="Times New Roman" w:cs="Times New Roman"/>
          <w:sz w:val="20"/>
          <w:szCs w:val="20"/>
          <w:lang w:val="kk-KZ"/>
        </w:rPr>
      </w:pPr>
    </w:p>
    <w:p w14:paraId="1EAE1486" w14:textId="77777777" w:rsidR="008D370C" w:rsidRPr="00653740" w:rsidRDefault="008D370C" w:rsidP="00F26281">
      <w:pPr>
        <w:spacing w:after="0" w:line="240" w:lineRule="auto"/>
        <w:ind w:left="1701" w:right="851" w:firstLine="567"/>
        <w:jc w:val="both"/>
        <w:rPr>
          <w:rFonts w:ascii="Times New Roman" w:hAnsi="Times New Roman" w:cs="Times New Roman"/>
          <w:sz w:val="20"/>
          <w:szCs w:val="20"/>
          <w:lang w:val="en-US"/>
        </w:rPr>
      </w:pPr>
    </w:p>
    <w:p w14:paraId="20FA7DC7" w14:textId="7B85B73C" w:rsidR="00085DE8" w:rsidRPr="00045D86" w:rsidRDefault="00085DE8" w:rsidP="00F26281">
      <w:pPr>
        <w:ind w:left="1701" w:right="851"/>
        <w:rPr>
          <w:rFonts w:ascii="Times New Roman" w:hAnsi="Times New Roman" w:cs="Times New Roman"/>
          <w:sz w:val="20"/>
          <w:szCs w:val="20"/>
          <w:lang w:val="en-US"/>
        </w:rPr>
      </w:pPr>
    </w:p>
    <w:sectPr w:rsidR="00085DE8" w:rsidRPr="00045D86" w:rsidSect="00F26281">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04713" w14:textId="77777777" w:rsidR="00FD2AC5" w:rsidRDefault="00FD2AC5" w:rsidP="00555B3F">
      <w:pPr>
        <w:spacing w:after="0" w:line="240" w:lineRule="auto"/>
      </w:pPr>
      <w:r>
        <w:separator/>
      </w:r>
    </w:p>
  </w:endnote>
  <w:endnote w:type="continuationSeparator" w:id="0">
    <w:p w14:paraId="7CBAE04B" w14:textId="77777777" w:rsidR="00FD2AC5" w:rsidRDefault="00FD2AC5" w:rsidP="00555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BF375" w14:textId="77777777" w:rsidR="00FD2AC5" w:rsidRDefault="00FD2AC5" w:rsidP="00555B3F">
      <w:pPr>
        <w:spacing w:after="0" w:line="240" w:lineRule="auto"/>
      </w:pPr>
      <w:r>
        <w:separator/>
      </w:r>
    </w:p>
  </w:footnote>
  <w:footnote w:type="continuationSeparator" w:id="0">
    <w:p w14:paraId="7EAE1193" w14:textId="77777777" w:rsidR="00FD2AC5" w:rsidRDefault="00FD2AC5" w:rsidP="00555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224A93"/>
    <w:multiLevelType w:val="hybridMultilevel"/>
    <w:tmpl w:val="64DA9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58499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5FD5"/>
    <w:rsid w:val="00045D86"/>
    <w:rsid w:val="00085DE8"/>
    <w:rsid w:val="00111255"/>
    <w:rsid w:val="002119A2"/>
    <w:rsid w:val="0022054C"/>
    <w:rsid w:val="0031389B"/>
    <w:rsid w:val="00345CD0"/>
    <w:rsid w:val="00422594"/>
    <w:rsid w:val="00445FD5"/>
    <w:rsid w:val="00500223"/>
    <w:rsid w:val="005019FB"/>
    <w:rsid w:val="00555B3F"/>
    <w:rsid w:val="005C1870"/>
    <w:rsid w:val="005E1309"/>
    <w:rsid w:val="00653740"/>
    <w:rsid w:val="006B0D92"/>
    <w:rsid w:val="00734162"/>
    <w:rsid w:val="0074100A"/>
    <w:rsid w:val="00834CCA"/>
    <w:rsid w:val="008A0E69"/>
    <w:rsid w:val="008D370C"/>
    <w:rsid w:val="00976475"/>
    <w:rsid w:val="00AF6BE7"/>
    <w:rsid w:val="00C7519D"/>
    <w:rsid w:val="00C84A3F"/>
    <w:rsid w:val="00CC4D09"/>
    <w:rsid w:val="00CE48BB"/>
    <w:rsid w:val="00D76A77"/>
    <w:rsid w:val="00D90CEC"/>
    <w:rsid w:val="00D95F49"/>
    <w:rsid w:val="00E06F75"/>
    <w:rsid w:val="00E57EE2"/>
    <w:rsid w:val="00E75896"/>
    <w:rsid w:val="00F26281"/>
    <w:rsid w:val="00FD2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158B2"/>
  <w15:docId w15:val="{09397D11-E73F-4ECF-8291-492F7C6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5DE8"/>
    <w:pPr>
      <w:ind w:left="720"/>
      <w:contextualSpacing/>
    </w:pPr>
  </w:style>
  <w:style w:type="character" w:styleId="a4">
    <w:name w:val="Hyperlink"/>
    <w:basedOn w:val="a0"/>
    <w:uiPriority w:val="99"/>
    <w:unhideWhenUsed/>
    <w:rsid w:val="008D370C"/>
    <w:rPr>
      <w:color w:val="0000FF" w:themeColor="hyperlink"/>
      <w:u w:val="single"/>
    </w:rPr>
  </w:style>
  <w:style w:type="paragraph" w:styleId="a5">
    <w:name w:val="header"/>
    <w:basedOn w:val="a"/>
    <w:link w:val="a6"/>
    <w:uiPriority w:val="99"/>
    <w:unhideWhenUsed/>
    <w:rsid w:val="00555B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5B3F"/>
  </w:style>
  <w:style w:type="paragraph" w:styleId="a7">
    <w:name w:val="footer"/>
    <w:basedOn w:val="a"/>
    <w:link w:val="a8"/>
    <w:uiPriority w:val="99"/>
    <w:unhideWhenUsed/>
    <w:rsid w:val="00555B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5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386620">
      <w:bodyDiv w:val="1"/>
      <w:marLeft w:val="0"/>
      <w:marRight w:val="0"/>
      <w:marTop w:val="0"/>
      <w:marBottom w:val="0"/>
      <w:divBdr>
        <w:top w:val="none" w:sz="0" w:space="0" w:color="auto"/>
        <w:left w:val="none" w:sz="0" w:space="0" w:color="auto"/>
        <w:bottom w:val="none" w:sz="0" w:space="0" w:color="auto"/>
        <w:right w:val="none" w:sz="0" w:space="0" w:color="auto"/>
      </w:divBdr>
    </w:div>
    <w:div w:id="751974321">
      <w:bodyDiv w:val="1"/>
      <w:marLeft w:val="0"/>
      <w:marRight w:val="0"/>
      <w:marTop w:val="0"/>
      <w:marBottom w:val="0"/>
      <w:divBdr>
        <w:top w:val="none" w:sz="0" w:space="0" w:color="auto"/>
        <w:left w:val="none" w:sz="0" w:space="0" w:color="auto"/>
        <w:bottom w:val="none" w:sz="0" w:space="0" w:color="auto"/>
        <w:right w:val="none" w:sz="0" w:space="0" w:color="auto"/>
      </w:divBdr>
    </w:div>
    <w:div w:id="1229026383">
      <w:bodyDiv w:val="1"/>
      <w:marLeft w:val="0"/>
      <w:marRight w:val="0"/>
      <w:marTop w:val="0"/>
      <w:marBottom w:val="0"/>
      <w:divBdr>
        <w:top w:val="none" w:sz="0" w:space="0" w:color="auto"/>
        <w:left w:val="none" w:sz="0" w:space="0" w:color="auto"/>
        <w:bottom w:val="none" w:sz="0" w:space="0" w:color="auto"/>
        <w:right w:val="none" w:sz="0" w:space="0" w:color="auto"/>
      </w:divBdr>
    </w:div>
    <w:div w:id="1474757043">
      <w:bodyDiv w:val="1"/>
      <w:marLeft w:val="0"/>
      <w:marRight w:val="0"/>
      <w:marTop w:val="0"/>
      <w:marBottom w:val="0"/>
      <w:divBdr>
        <w:top w:val="none" w:sz="0" w:space="0" w:color="auto"/>
        <w:left w:val="none" w:sz="0" w:space="0" w:color="auto"/>
        <w:bottom w:val="none" w:sz="0" w:space="0" w:color="auto"/>
        <w:right w:val="none" w:sz="0" w:space="0" w:color="auto"/>
      </w:divBdr>
    </w:div>
    <w:div w:id="1503934858">
      <w:bodyDiv w:val="1"/>
      <w:marLeft w:val="0"/>
      <w:marRight w:val="0"/>
      <w:marTop w:val="0"/>
      <w:marBottom w:val="0"/>
      <w:divBdr>
        <w:top w:val="none" w:sz="0" w:space="0" w:color="auto"/>
        <w:left w:val="none" w:sz="0" w:space="0" w:color="auto"/>
        <w:bottom w:val="none" w:sz="0" w:space="0" w:color="auto"/>
        <w:right w:val="none" w:sz="0" w:space="0" w:color="auto"/>
      </w:divBdr>
    </w:div>
    <w:div w:id="1605963179">
      <w:bodyDiv w:val="1"/>
      <w:marLeft w:val="0"/>
      <w:marRight w:val="0"/>
      <w:marTop w:val="0"/>
      <w:marBottom w:val="0"/>
      <w:divBdr>
        <w:top w:val="none" w:sz="0" w:space="0" w:color="auto"/>
        <w:left w:val="none" w:sz="0" w:space="0" w:color="auto"/>
        <w:bottom w:val="none" w:sz="0" w:space="0" w:color="auto"/>
        <w:right w:val="none" w:sz="0" w:space="0" w:color="auto"/>
      </w:divBdr>
    </w:div>
    <w:div w:id="1619146615">
      <w:bodyDiv w:val="1"/>
      <w:marLeft w:val="0"/>
      <w:marRight w:val="0"/>
      <w:marTop w:val="0"/>
      <w:marBottom w:val="0"/>
      <w:divBdr>
        <w:top w:val="none" w:sz="0" w:space="0" w:color="auto"/>
        <w:left w:val="none" w:sz="0" w:space="0" w:color="auto"/>
        <w:bottom w:val="none" w:sz="0" w:space="0" w:color="auto"/>
        <w:right w:val="none" w:sz="0" w:space="0" w:color="auto"/>
      </w:divBdr>
    </w:div>
    <w:div w:id="177382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183</Words>
  <Characters>1048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Утей Шынболат</cp:lastModifiedBy>
  <cp:revision>23</cp:revision>
  <dcterms:created xsi:type="dcterms:W3CDTF">2022-08-09T05:31:00Z</dcterms:created>
  <dcterms:modified xsi:type="dcterms:W3CDTF">2024-08-02T10:38:00Z</dcterms:modified>
</cp:coreProperties>
</file>