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64" w:rsidRDefault="009A1364" w:rsidP="000179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0471" w:rsidRPr="00310471" w:rsidRDefault="00310471" w:rsidP="0031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10471">
        <w:rPr>
          <w:rFonts w:ascii="Times New Roman" w:hAnsi="Times New Roman" w:cs="Times New Roman"/>
          <w:b/>
          <w:bCs/>
          <w:sz w:val="28"/>
          <w:lang w:val="ru-RU"/>
        </w:rPr>
        <w:t>Исследование влияние микроструктуры положительных электродов</w:t>
      </w:r>
      <w:r w:rsidRPr="00310471">
        <w:rPr>
          <w:rFonts w:ascii="Times New Roman" w:hAnsi="Times New Roman" w:cs="Times New Roman"/>
          <w:b/>
          <w:bCs/>
          <w:sz w:val="28"/>
          <w:lang w:val="ru-RU"/>
        </w:rPr>
        <w:br/>
        <w:t>химических источников тока на их функциональные характеристики</w:t>
      </w:r>
    </w:p>
    <w:p w:rsidR="009A1364" w:rsidRPr="00310471" w:rsidRDefault="009A1364" w:rsidP="00310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lang w:val="ru-RU"/>
        </w:rPr>
      </w:pPr>
    </w:p>
    <w:p w:rsidR="009A1364" w:rsidRPr="009A1364" w:rsidRDefault="009A1364" w:rsidP="009A13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k-KZ"/>
        </w:rPr>
      </w:pP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М. Ердаулетов</w:t>
      </w:r>
      <w:r w:rsidRPr="009A136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  <w:t xml:space="preserve"> [2,3,4</w:t>
      </w:r>
      <w:r w:rsidRPr="009A1364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ru-RU"/>
        </w:rPr>
        <w:t>]</w:t>
      </w:r>
      <w:r w:rsidRPr="009A13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М. В. Авдеев</w:t>
      </w:r>
      <w:r w:rsidRPr="009A136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 xml:space="preserve"> [1,2]</w:t>
      </w:r>
      <w:r w:rsidRPr="009A136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Ф. С. </w:t>
      </w:r>
      <w:proofErr w:type="spellStart"/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Напольский</w:t>
      </w:r>
      <w:proofErr w:type="spellEnd"/>
      <w:r w:rsidRPr="009A136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 xml:space="preserve"> [1</w:t>
      </w:r>
      <w:proofErr w:type="gramStart"/>
      <w:r w:rsidRPr="009A136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]</w:t>
      </w:r>
      <w:r w:rsidRPr="009A1364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В.</w:t>
      </w:r>
      <w:proofErr w:type="gramEnd"/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 Кривченко</w:t>
      </w:r>
      <w:r w:rsidRPr="009A136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[1]</w:t>
      </w:r>
      <w:r w:rsidRPr="009A13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9A1364" w:rsidRPr="00610B4B" w:rsidRDefault="009A1364" w:rsidP="009A13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kk-KZ"/>
        </w:rPr>
      </w:pPr>
    </w:p>
    <w:p w:rsidR="009A1364" w:rsidRPr="009A1364" w:rsidRDefault="009A1364" w:rsidP="009A13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36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[1]</w:t>
      </w:r>
      <w:r w:rsidRPr="009A1364">
        <w:rPr>
          <w:i/>
          <w:sz w:val="24"/>
          <w:szCs w:val="24"/>
          <w:lang w:val="ru-RU"/>
        </w:rPr>
        <w:t xml:space="preserve"> 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Государственный университет “Дубна”, Дубна, Московская область, 141980 Россия</w:t>
      </w:r>
    </w:p>
    <w:p w:rsidR="009A1364" w:rsidRPr="009A1364" w:rsidRDefault="009A1364" w:rsidP="009A13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36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[2]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Лаборатория нейтронной физики им. И.М. Франка, Объединенный институт ядерных исследований, Дубна, Московская область, 141980 Россия </w:t>
      </w:r>
    </w:p>
    <w:p w:rsidR="009A1364" w:rsidRPr="009A1364" w:rsidRDefault="009A1364" w:rsidP="009A13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36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[3]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Институт ядерной физики, Минис</w:t>
      </w:r>
      <w:bookmarkStart w:id="0" w:name="_GoBack"/>
      <w:bookmarkEnd w:id="0"/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>терство энергетики Республики Казахстан, Алматы, 050032 Казахстан</w:t>
      </w:r>
    </w:p>
    <w:p w:rsidR="009A1364" w:rsidRDefault="009A1364" w:rsidP="00C745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36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[4]</w:t>
      </w:r>
      <w:r w:rsidRPr="009A1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Евразийский национальный университет им. Л.Н. Гумилева, Астана, 010000 Казахстан</w:t>
      </w:r>
    </w:p>
    <w:p w:rsidR="00C745DB" w:rsidRPr="00C745DB" w:rsidRDefault="00C745DB" w:rsidP="00C745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A1364" w:rsidRPr="009A1364" w:rsidRDefault="009A1364" w:rsidP="009A1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ru-RU"/>
        </w:rPr>
        <w:t>Абстракт</w:t>
      </w:r>
    </w:p>
    <w:p w:rsidR="009A1364" w:rsidRPr="009A1364" w:rsidRDefault="009A1364" w:rsidP="009A1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1364" w:rsidRPr="009A1364" w:rsidRDefault="009A1364" w:rsidP="009A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02C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Ограниченный запас ископаемых источников энергии, а также повсеместное ухудшение экологической обстановки, приводит к необходимости увеличения доли потребления возобновляемой энергии и к неизбежному использованию электрических приводов для транспортных средств. Широкое использование возобновляемых источников энергии и электрических транспортных средств ограничивает отсутствие </w:t>
      </w:r>
      <w:proofErr w:type="spellStart"/>
      <w:r w:rsidRPr="00302C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высокоёмких</w:t>
      </w:r>
      <w:proofErr w:type="spellEnd"/>
      <w:r w:rsidRPr="00302C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302C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энергоэффективных</w:t>
      </w:r>
      <w:proofErr w:type="spellEnd"/>
      <w:r w:rsidRPr="00302C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накопителей энергии, среди которых перезаряжаемые химические источники тока (ХИТ) занимают важное место. В области «зелёной» энергетики ХИТ необходимы для выравнивания нагрузки в электрических сетях, регулирования частоты и обеспечения потребителей возобновляемой энергией в моменты провалов генерации энергии, возникающей при использовании ветряных, солнечных или волновых электростанций. В связи с этим актуальной задачей является совершенствование существующих, поиск и развитие новых энергоёмких и эффективных перезаряжаемых ХИТ.</w:t>
      </w:r>
    </w:p>
    <w:p w:rsidR="009A1364" w:rsidRDefault="009A1364" w:rsidP="00C7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            Методом </w:t>
      </w:r>
      <w:proofErr w:type="spellStart"/>
      <w:r w:rsidRPr="009A1364">
        <w:rPr>
          <w:rFonts w:ascii="Times New Roman" w:hAnsi="Times New Roman" w:cs="Times New Roman"/>
          <w:sz w:val="24"/>
          <w:szCs w:val="24"/>
          <w:lang w:val="ru-RU"/>
        </w:rPr>
        <w:t>малоуглового</w:t>
      </w:r>
      <w:proofErr w:type="spellEnd"/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рассеяния нейтронов изучено влияние проводящих углеродных добавок (</w:t>
      </w:r>
      <w:proofErr w:type="spellStart"/>
      <w:r w:rsidRPr="009A1364">
        <w:rPr>
          <w:rFonts w:ascii="Times New Roman" w:hAnsi="Times New Roman" w:cs="Times New Roman"/>
          <w:sz w:val="24"/>
          <w:szCs w:val="24"/>
          <w:lang w:val="ru-RU"/>
        </w:rPr>
        <w:t>графена</w:t>
      </w:r>
      <w:proofErr w:type="spellEnd"/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и электрохимического оксида </w:t>
      </w:r>
      <w:proofErr w:type="spellStart"/>
      <w:r w:rsidRPr="009A1364">
        <w:rPr>
          <w:rFonts w:ascii="Times New Roman" w:hAnsi="Times New Roman" w:cs="Times New Roman"/>
          <w:sz w:val="24"/>
          <w:szCs w:val="24"/>
          <w:lang w:val="ru-RU"/>
        </w:rPr>
        <w:t>графена</w:t>
      </w:r>
      <w:proofErr w:type="spellEnd"/>
      <w:r w:rsidRPr="009A1364">
        <w:rPr>
          <w:rFonts w:ascii="Times New Roman" w:hAnsi="Times New Roman" w:cs="Times New Roman"/>
          <w:sz w:val="24"/>
          <w:szCs w:val="24"/>
          <w:lang w:val="ru-RU"/>
        </w:rPr>
        <w:t>) на пористую структуру положительных электродов на основе литий-железо-фосфата (</w:t>
      </w:r>
      <w:r w:rsidRPr="009A1364">
        <w:rPr>
          <w:rFonts w:ascii="Times New Roman" w:hAnsi="Times New Roman" w:cs="Times New Roman"/>
          <w:sz w:val="24"/>
          <w:szCs w:val="24"/>
        </w:rPr>
        <w:t>LFP</w:t>
      </w:r>
      <w:r w:rsidRPr="009A1364">
        <w:rPr>
          <w:rFonts w:ascii="Times New Roman" w:hAnsi="Times New Roman" w:cs="Times New Roman"/>
          <w:sz w:val="24"/>
          <w:szCs w:val="24"/>
          <w:lang w:val="ru-RU"/>
        </w:rPr>
        <w:t>), лития-</w:t>
      </w:r>
      <w:proofErr w:type="spellStart"/>
      <w:r w:rsidRPr="009A1364">
        <w:rPr>
          <w:rFonts w:ascii="Times New Roman" w:hAnsi="Times New Roman" w:cs="Times New Roman"/>
          <w:sz w:val="24"/>
          <w:szCs w:val="24"/>
          <w:lang w:val="ru-RU"/>
        </w:rPr>
        <w:t>титаната</w:t>
      </w:r>
      <w:proofErr w:type="spellEnd"/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A1364">
        <w:rPr>
          <w:rFonts w:ascii="Times New Roman" w:hAnsi="Times New Roman" w:cs="Times New Roman"/>
          <w:sz w:val="24"/>
          <w:szCs w:val="24"/>
        </w:rPr>
        <w:t>LTO</w:t>
      </w:r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C745DB">
        <w:rPr>
          <w:rFonts w:ascii="Times New Roman" w:hAnsi="Times New Roman" w:cs="Times New Roman"/>
          <w:sz w:val="24"/>
          <w:szCs w:val="24"/>
          <w:lang w:val="ru-RU"/>
        </w:rPr>
        <w:t xml:space="preserve">оксид </w:t>
      </w:r>
      <w:r w:rsidRPr="009A1364">
        <w:rPr>
          <w:rFonts w:ascii="Times New Roman" w:hAnsi="Times New Roman" w:cs="Times New Roman"/>
          <w:sz w:val="24"/>
          <w:szCs w:val="24"/>
          <w:lang w:val="ru-RU"/>
        </w:rPr>
        <w:t>лития-никеля-марга</w:t>
      </w:r>
      <w:r w:rsidR="00C745DB">
        <w:rPr>
          <w:rFonts w:ascii="Times New Roman" w:hAnsi="Times New Roman" w:cs="Times New Roman"/>
          <w:sz w:val="24"/>
          <w:szCs w:val="24"/>
          <w:lang w:val="ru-RU"/>
        </w:rPr>
        <w:t xml:space="preserve">нца-кобальта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NMC</w:t>
      </w:r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). Для отделения рассеяния на закрытых порах от рассеяния на открытых порах электрод смачивается </w:t>
      </w:r>
      <w:proofErr w:type="spellStart"/>
      <w:r w:rsidRPr="009A1364">
        <w:rPr>
          <w:rFonts w:ascii="Times New Roman" w:hAnsi="Times New Roman" w:cs="Times New Roman"/>
          <w:sz w:val="24"/>
          <w:szCs w:val="24"/>
          <w:lang w:val="ru-RU"/>
        </w:rPr>
        <w:t>дейтерированным</w:t>
      </w:r>
      <w:proofErr w:type="spellEnd"/>
      <w:r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электролитом, что позволяет компенсировать рассеяние на открытых порах. Установлено, что электропроводящие углеродные добавки в разной степени изменяют пористость электрода и влияют на свойства по смачиваемости материала как за счет различного влияния степени внедрения в поры исходного материала, так и за счет воздействия на матрицу </w:t>
      </w:r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>литий-железо-фосфата (</w:t>
      </w:r>
      <w:r w:rsidR="00C745DB" w:rsidRPr="009A1364">
        <w:rPr>
          <w:rFonts w:ascii="Times New Roman" w:hAnsi="Times New Roman" w:cs="Times New Roman"/>
          <w:sz w:val="24"/>
          <w:szCs w:val="24"/>
        </w:rPr>
        <w:t>LFP</w:t>
      </w:r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>), лития-</w:t>
      </w:r>
      <w:proofErr w:type="spellStart"/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>титаната</w:t>
      </w:r>
      <w:proofErr w:type="spellEnd"/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745DB" w:rsidRPr="009A1364">
        <w:rPr>
          <w:rFonts w:ascii="Times New Roman" w:hAnsi="Times New Roman" w:cs="Times New Roman"/>
          <w:sz w:val="24"/>
          <w:szCs w:val="24"/>
        </w:rPr>
        <w:t>LTO</w:t>
      </w:r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C745DB">
        <w:rPr>
          <w:rFonts w:ascii="Times New Roman" w:hAnsi="Times New Roman" w:cs="Times New Roman"/>
          <w:sz w:val="24"/>
          <w:szCs w:val="24"/>
          <w:lang w:val="ru-RU"/>
        </w:rPr>
        <w:t xml:space="preserve">оксид </w:t>
      </w:r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>лития-никеля-марга</w:t>
      </w:r>
      <w:r w:rsidR="00C745DB">
        <w:rPr>
          <w:rFonts w:ascii="Times New Roman" w:hAnsi="Times New Roman" w:cs="Times New Roman"/>
          <w:sz w:val="24"/>
          <w:szCs w:val="24"/>
          <w:lang w:val="ru-RU"/>
        </w:rPr>
        <w:t>нца-кобальта (</w:t>
      </w:r>
      <w:r w:rsidR="00C745DB">
        <w:rPr>
          <w:rFonts w:ascii="Times New Roman" w:hAnsi="Times New Roman" w:cs="Times New Roman"/>
          <w:sz w:val="24"/>
          <w:szCs w:val="24"/>
        </w:rPr>
        <w:t>NMC</w:t>
      </w:r>
      <w:r w:rsidR="00C745DB" w:rsidRPr="009A136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745DB" w:rsidRPr="00C745DB" w:rsidRDefault="00C745DB" w:rsidP="00C7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С помощью </w:t>
      </w:r>
      <w:proofErr w:type="spellStart"/>
      <w:r w:rsidRPr="00C745DB">
        <w:rPr>
          <w:rFonts w:ascii="Times New Roman" w:hAnsi="Times New Roman" w:cs="Times New Roman"/>
          <w:sz w:val="24"/>
          <w:szCs w:val="24"/>
          <w:lang w:val="ru-RU"/>
        </w:rPr>
        <w:t>малоуглового</w:t>
      </w:r>
      <w:proofErr w:type="spellEnd"/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 рассеяния нейтронов проведена оценка эффективности встраивания углерод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добавок на основе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графена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электродные 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материалы различных типов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LFP,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LTO</w:t>
      </w:r>
      <w:proofErr w:type="gramEnd"/>
      <w:r w:rsidRPr="00C745DB">
        <w:rPr>
          <w:rFonts w:ascii="Times New Roman" w:hAnsi="Times New Roman" w:cs="Times New Roman"/>
          <w:sz w:val="24"/>
          <w:szCs w:val="24"/>
          <w:lang w:val="ru-RU"/>
        </w:rPr>
        <w:t>, NMC) для литий-ионных аккумуляторов с</w:t>
      </w:r>
    </w:p>
    <w:p w:rsidR="00C745DB" w:rsidRPr="00C745DB" w:rsidRDefault="00C745DB" w:rsidP="00C7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жидкими электролитами. Получено, что в диапазоне размеров 100 </w:t>
      </w:r>
      <w:proofErr w:type="gramStart"/>
      <w:r w:rsidRPr="00C745DB">
        <w:rPr>
          <w:rFonts w:ascii="Times New Roman" w:hAnsi="Times New Roman" w:cs="Times New Roman"/>
          <w:sz w:val="24"/>
          <w:szCs w:val="24"/>
          <w:lang w:val="ru-RU"/>
        </w:rPr>
        <w:t>&lt; D</w:t>
      </w:r>
      <w:proofErr w:type="gramEnd"/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 &lt; 1000 Å углеродные добавки заметным образом меняют пористость исходного электр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ода материала. Данные изменения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коррелируют со </w:t>
      </w:r>
      <w:proofErr w:type="spellStart"/>
      <w:r w:rsidRPr="00C745DB">
        <w:rPr>
          <w:rFonts w:ascii="Times New Roman" w:hAnsi="Times New Roman" w:cs="Times New Roman"/>
          <w:sz w:val="24"/>
          <w:szCs w:val="24"/>
          <w:lang w:val="ru-RU"/>
        </w:rPr>
        <w:t>смачиваемостью</w:t>
      </w:r>
      <w:proofErr w:type="spellEnd"/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 жидким электролитом. Применение вариации контраста (использование </w:t>
      </w:r>
      <w:proofErr w:type="spellStart"/>
      <w:r w:rsidRPr="00C745DB">
        <w:rPr>
          <w:rFonts w:ascii="Times New Roman" w:hAnsi="Times New Roman" w:cs="Times New Roman"/>
          <w:sz w:val="24"/>
          <w:szCs w:val="24"/>
          <w:lang w:val="ru-RU"/>
        </w:rPr>
        <w:t>дейтерированной</w:t>
      </w:r>
      <w:proofErr w:type="spellEnd"/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 жидкой основы электролита) позволило качественно оценить эффективность встраивания углеродных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добавок в электродное покрытие. Также обнаружено струк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турирование связующего полимера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(ПВДФ): во всех электродных покрытиях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наблюдаются клубки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характерным радиусом инерции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32 Å. Наибольши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относительные изменения из-за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добавок наблюдались в системе на основе NMC,</w:t>
      </w:r>
    </w:p>
    <w:p w:rsidR="00C745DB" w:rsidRPr="009A1364" w:rsidRDefault="00C745DB" w:rsidP="00C7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45DB">
        <w:rPr>
          <w:rFonts w:ascii="Times New Roman" w:hAnsi="Times New Roman" w:cs="Times New Roman"/>
          <w:sz w:val="24"/>
          <w:szCs w:val="24"/>
          <w:lang w:val="ru-RU"/>
        </w:rPr>
        <w:t>что объясняется его меньшей, по сравнению с другими материалам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исходной пористостью. В этом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случае наряд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 изменением пористости из-за </w:t>
      </w:r>
      <w:r w:rsidRPr="00C745DB">
        <w:rPr>
          <w:rFonts w:ascii="Times New Roman" w:hAnsi="Times New Roman" w:cs="Times New Roman"/>
          <w:sz w:val="24"/>
          <w:szCs w:val="24"/>
          <w:lang w:val="ru-RU"/>
        </w:rPr>
        <w:t>встраивания добавок существенный вклад в рассеяние дают клубки связующего полимера.</w:t>
      </w:r>
    </w:p>
    <w:p w:rsidR="00C745DB" w:rsidRDefault="009A1364" w:rsidP="009A13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45D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9A1364" w:rsidRDefault="009A1364" w:rsidP="009A13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0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45DB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C745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V</w:t>
      </w:r>
      <w:r w:rsidRPr="00C745DB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Avdeev</w:t>
      </w:r>
      <w:proofErr w:type="spellEnd"/>
      <w:r w:rsidRPr="00C745D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</w:t>
      </w:r>
      <w:r w:rsidRPr="00C745DB">
        <w:rPr>
          <w:rFonts w:ascii="Times New Roman" w:hAnsi="Times New Roman" w:cs="Times New Roman"/>
          <w:sz w:val="24"/>
        </w:rPr>
        <w:t>.</w:t>
      </w:r>
      <w:r w:rsidRPr="0001628C">
        <w:rPr>
          <w:rFonts w:ascii="Times New Roman" w:hAnsi="Times New Roman" w:cs="Times New Roman"/>
          <w:sz w:val="24"/>
        </w:rPr>
        <w:t>S</w:t>
      </w:r>
      <w:r w:rsidRPr="00C745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1628C">
        <w:rPr>
          <w:rFonts w:ascii="Times New Roman" w:hAnsi="Times New Roman" w:cs="Times New Roman"/>
          <w:sz w:val="24"/>
        </w:rPr>
        <w:t>Yerdauletov</w:t>
      </w:r>
      <w:proofErr w:type="spellEnd"/>
      <w:r w:rsidRPr="00C745DB">
        <w:rPr>
          <w:rFonts w:ascii="Times New Roman" w:hAnsi="Times New Roman" w:cs="Times New Roman"/>
          <w:sz w:val="24"/>
        </w:rPr>
        <w:t xml:space="preserve">, </w:t>
      </w:r>
      <w:r w:rsidRPr="0001628C">
        <w:rPr>
          <w:rFonts w:ascii="Times New Roman" w:hAnsi="Times New Roman" w:cs="Times New Roman"/>
          <w:sz w:val="24"/>
        </w:rPr>
        <w:t>O</w:t>
      </w:r>
      <w:r w:rsidRPr="00C745DB">
        <w:rPr>
          <w:rFonts w:ascii="Times New Roman" w:hAnsi="Times New Roman" w:cs="Times New Roman"/>
          <w:sz w:val="24"/>
        </w:rPr>
        <w:t xml:space="preserve">. </w:t>
      </w:r>
      <w:r w:rsidRPr="0001628C">
        <w:rPr>
          <w:rFonts w:ascii="Times New Roman" w:hAnsi="Times New Roman" w:cs="Times New Roman"/>
          <w:sz w:val="24"/>
        </w:rPr>
        <w:t>I</w:t>
      </w:r>
      <w:r w:rsidRPr="00C745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1628C">
        <w:rPr>
          <w:rFonts w:ascii="Times New Roman" w:hAnsi="Times New Roman" w:cs="Times New Roman"/>
          <w:sz w:val="24"/>
        </w:rPr>
        <w:t>Ivankov</w:t>
      </w:r>
      <w:proofErr w:type="spellEnd"/>
      <w:r w:rsidRPr="00C745DB">
        <w:rPr>
          <w:rFonts w:ascii="Times New Roman" w:hAnsi="Times New Roman" w:cs="Times New Roman"/>
          <w:sz w:val="24"/>
        </w:rPr>
        <w:t xml:space="preserve">, </w:t>
      </w:r>
      <w:r w:rsidRPr="0001628C">
        <w:rPr>
          <w:rFonts w:ascii="Times New Roman" w:hAnsi="Times New Roman" w:cs="Times New Roman"/>
          <w:sz w:val="24"/>
        </w:rPr>
        <w:t>et</w:t>
      </w:r>
      <w:r w:rsidRPr="00C745DB">
        <w:rPr>
          <w:rFonts w:ascii="Times New Roman" w:hAnsi="Times New Roman" w:cs="Times New Roman"/>
          <w:sz w:val="24"/>
        </w:rPr>
        <w:t xml:space="preserve"> </w:t>
      </w:r>
      <w:r w:rsidRPr="0001628C">
        <w:rPr>
          <w:rFonts w:ascii="Times New Roman" w:hAnsi="Times New Roman" w:cs="Times New Roman"/>
          <w:sz w:val="24"/>
        </w:rPr>
        <w:t>al</w:t>
      </w:r>
      <w:r w:rsidRPr="00C745DB">
        <w:rPr>
          <w:rFonts w:ascii="Times New Roman" w:hAnsi="Times New Roman" w:cs="Times New Roman"/>
          <w:sz w:val="24"/>
        </w:rPr>
        <w:t xml:space="preserve">., </w:t>
      </w:r>
      <w:r w:rsidRPr="0001628C">
        <w:rPr>
          <w:rFonts w:ascii="Times New Roman" w:hAnsi="Times New Roman" w:cs="Times New Roman"/>
          <w:sz w:val="24"/>
        </w:rPr>
        <w:t>J</w:t>
      </w:r>
      <w:r w:rsidRPr="00C745D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Surf</w:t>
      </w:r>
      <w:r w:rsidRPr="00C745D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Investigation 13(4), 614 </w:t>
      </w:r>
      <w:r w:rsidRPr="0001628C">
        <w:rPr>
          <w:rFonts w:ascii="Times New Roman" w:hAnsi="Times New Roman" w:cs="Times New Roman"/>
          <w:sz w:val="24"/>
        </w:rPr>
        <w:t xml:space="preserve">(2019). </w:t>
      </w:r>
    </w:p>
    <w:p w:rsidR="009A1364" w:rsidRDefault="009A1364" w:rsidP="009A13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F.</w:t>
      </w:r>
      <w:r w:rsidRPr="0001628C">
        <w:rPr>
          <w:rFonts w:ascii="Times New Roman" w:hAnsi="Times New Roman" w:cs="Times New Roman"/>
          <w:sz w:val="24"/>
        </w:rPr>
        <w:t>Napolskiy</w:t>
      </w:r>
      <w:proofErr w:type="spellEnd"/>
      <w:proofErr w:type="gramEnd"/>
      <w:r w:rsidRPr="0001628C">
        <w:rPr>
          <w:rFonts w:ascii="Times New Roman" w:hAnsi="Times New Roman" w:cs="Times New Roman"/>
          <w:sz w:val="24"/>
        </w:rPr>
        <w:t xml:space="preserve">, M. </w:t>
      </w:r>
      <w:proofErr w:type="spellStart"/>
      <w:r w:rsidRPr="0001628C">
        <w:rPr>
          <w:rFonts w:ascii="Times New Roman" w:hAnsi="Times New Roman" w:cs="Times New Roman"/>
          <w:sz w:val="24"/>
        </w:rPr>
        <w:t>Avdeev</w:t>
      </w:r>
      <w:proofErr w:type="spellEnd"/>
      <w:r w:rsidRPr="0001628C">
        <w:rPr>
          <w:rFonts w:ascii="Times New Roman" w:hAnsi="Times New Roman" w:cs="Times New Roman"/>
          <w:sz w:val="24"/>
        </w:rPr>
        <w:t xml:space="preserve">, M. </w:t>
      </w:r>
      <w:proofErr w:type="spellStart"/>
      <w:r w:rsidRPr="0001628C">
        <w:rPr>
          <w:rFonts w:ascii="Times New Roman" w:hAnsi="Times New Roman" w:cs="Times New Roman"/>
          <w:sz w:val="24"/>
        </w:rPr>
        <w:t>Yerdauletov</w:t>
      </w:r>
      <w:proofErr w:type="spellEnd"/>
      <w:r w:rsidRPr="0001628C">
        <w:rPr>
          <w:rFonts w:ascii="Times New Roman" w:hAnsi="Times New Roman" w:cs="Times New Roman"/>
          <w:sz w:val="24"/>
        </w:rPr>
        <w:t>, et al., Energy Technology 8, 2000146 (2020).</w:t>
      </w:r>
    </w:p>
    <w:p w:rsidR="009A1364" w:rsidRDefault="009A1364" w:rsidP="009A13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364" w:rsidRDefault="009A1364" w:rsidP="009A13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364" w:rsidRPr="00310471" w:rsidRDefault="009A1364" w:rsidP="000179A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1364" w:rsidRPr="00310471" w:rsidSect="00FE6BF2">
      <w:pgSz w:w="12240" w:h="15840"/>
      <w:pgMar w:top="851" w:right="1469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A93"/>
    <w:multiLevelType w:val="hybridMultilevel"/>
    <w:tmpl w:val="7FAED16C"/>
    <w:lvl w:ilvl="0" w:tplc="9CC0F336">
      <w:start w:val="1"/>
      <w:numFmt w:val="decimal"/>
      <w:pStyle w:val="Literature"/>
      <w:lvlText w:val="[%1]"/>
      <w:lvlJc w:val="left"/>
      <w:pPr>
        <w:ind w:left="7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A65"/>
    <w:multiLevelType w:val="hybridMultilevel"/>
    <w:tmpl w:val="9558F8F4"/>
    <w:lvl w:ilvl="0" w:tplc="7340EF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CCA2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1E4A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E4C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20EF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5E11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4C68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449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A228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56ED0"/>
    <w:multiLevelType w:val="hybridMultilevel"/>
    <w:tmpl w:val="BEF0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395F"/>
    <w:multiLevelType w:val="hybridMultilevel"/>
    <w:tmpl w:val="6C78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D8"/>
    <w:rsid w:val="000179A2"/>
    <w:rsid w:val="00037B72"/>
    <w:rsid w:val="000C0C7F"/>
    <w:rsid w:val="000F58EE"/>
    <w:rsid w:val="001B5790"/>
    <w:rsid w:val="001D373D"/>
    <w:rsid w:val="00214498"/>
    <w:rsid w:val="002A2C6A"/>
    <w:rsid w:val="002D3DD3"/>
    <w:rsid w:val="00302C28"/>
    <w:rsid w:val="00310471"/>
    <w:rsid w:val="0037113D"/>
    <w:rsid w:val="003C3A0D"/>
    <w:rsid w:val="0040636D"/>
    <w:rsid w:val="004508D4"/>
    <w:rsid w:val="0046317B"/>
    <w:rsid w:val="004E3F69"/>
    <w:rsid w:val="00502893"/>
    <w:rsid w:val="00515AD8"/>
    <w:rsid w:val="00647584"/>
    <w:rsid w:val="00692FE8"/>
    <w:rsid w:val="006A4E8F"/>
    <w:rsid w:val="006C3085"/>
    <w:rsid w:val="006E12C7"/>
    <w:rsid w:val="006F08AB"/>
    <w:rsid w:val="007B2C01"/>
    <w:rsid w:val="00863311"/>
    <w:rsid w:val="008C28E4"/>
    <w:rsid w:val="00900867"/>
    <w:rsid w:val="0098177A"/>
    <w:rsid w:val="009A1364"/>
    <w:rsid w:val="009D2A01"/>
    <w:rsid w:val="00A07019"/>
    <w:rsid w:val="00A53DC5"/>
    <w:rsid w:val="00A91F8A"/>
    <w:rsid w:val="00B363C3"/>
    <w:rsid w:val="00BA1EC5"/>
    <w:rsid w:val="00BB68B6"/>
    <w:rsid w:val="00C1093D"/>
    <w:rsid w:val="00C1480A"/>
    <w:rsid w:val="00C3201D"/>
    <w:rsid w:val="00C427C0"/>
    <w:rsid w:val="00C64E1A"/>
    <w:rsid w:val="00C745DB"/>
    <w:rsid w:val="00C966FD"/>
    <w:rsid w:val="00D419F1"/>
    <w:rsid w:val="00D577EB"/>
    <w:rsid w:val="00D743CB"/>
    <w:rsid w:val="00DB4DD8"/>
    <w:rsid w:val="00DC317F"/>
    <w:rsid w:val="00E41072"/>
    <w:rsid w:val="00E4444F"/>
    <w:rsid w:val="00E72E13"/>
    <w:rsid w:val="00EC25ED"/>
    <w:rsid w:val="00F73DF5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EFAA"/>
  <w15:docId w15:val="{72F04570-4C53-4524-A301-EA5C2D9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C0"/>
  </w:style>
  <w:style w:type="paragraph" w:styleId="1">
    <w:name w:val="heading 1"/>
    <w:basedOn w:val="a"/>
    <w:next w:val="a"/>
    <w:link w:val="10"/>
    <w:uiPriority w:val="9"/>
    <w:qFormat/>
    <w:rsid w:val="009D2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E13"/>
    <w:rPr>
      <w:color w:val="0000FF" w:themeColor="hyperlink"/>
      <w:u w:val="single"/>
    </w:rPr>
  </w:style>
  <w:style w:type="character" w:customStyle="1" w:styleId="Text">
    <w:name w:val="Text Знак"/>
    <w:link w:val="Text0"/>
    <w:locked/>
    <w:rsid w:val="00E72E13"/>
    <w:rPr>
      <w:rFonts w:ascii="Times New Roman" w:hAnsi="Times New Roman" w:cs="Times New Roman"/>
      <w:sz w:val="24"/>
    </w:rPr>
  </w:style>
  <w:style w:type="paragraph" w:customStyle="1" w:styleId="Text0">
    <w:name w:val="Text"/>
    <w:link w:val="Text"/>
    <w:qFormat/>
    <w:rsid w:val="00E72E13"/>
    <w:pPr>
      <w:spacing w:before="240" w:after="0" w:line="240" w:lineRule="auto"/>
      <w:ind w:firstLine="567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Authors">
    <w:name w:val="Authors"/>
    <w:basedOn w:val="Text0"/>
    <w:next w:val="Institute"/>
    <w:qFormat/>
    <w:rsid w:val="00E72E13"/>
    <w:pPr>
      <w:ind w:firstLine="0"/>
      <w:jc w:val="center"/>
    </w:pPr>
  </w:style>
  <w:style w:type="paragraph" w:customStyle="1" w:styleId="11">
    <w:name w:val="Верхний колонтитул1"/>
    <w:next w:val="Authors"/>
    <w:qFormat/>
    <w:rsid w:val="00E72E13"/>
    <w:pPr>
      <w:pageBreakBefore/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Institute">
    <w:name w:val="Institute"/>
    <w:qFormat/>
    <w:rsid w:val="00E72E13"/>
    <w:pPr>
      <w:spacing w:before="240"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e-mail">
    <w:name w:val="e-mail Знак"/>
    <w:basedOn w:val="Text"/>
    <w:link w:val="e-mail0"/>
    <w:locked/>
    <w:rsid w:val="00E72E13"/>
    <w:rPr>
      <w:rFonts w:ascii="Times New Roman" w:hAnsi="Times New Roman" w:cs="Times New Roman"/>
      <w:sz w:val="24"/>
    </w:rPr>
  </w:style>
  <w:style w:type="paragraph" w:customStyle="1" w:styleId="e-mail0">
    <w:name w:val="e-mail"/>
    <w:next w:val="Text0"/>
    <w:link w:val="e-mail"/>
    <w:qFormat/>
    <w:rsid w:val="00E72E1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Literature0">
    <w:name w:val="Literature Знак"/>
    <w:link w:val="Literature"/>
    <w:locked/>
    <w:rsid w:val="00E72E13"/>
    <w:rPr>
      <w:rFonts w:ascii="Times New Roman" w:hAnsi="Times New Roman" w:cs="Times New Roman"/>
      <w:noProof/>
      <w:sz w:val="24"/>
    </w:rPr>
  </w:style>
  <w:style w:type="paragraph" w:customStyle="1" w:styleId="Literature">
    <w:name w:val="Literature"/>
    <w:link w:val="Literature0"/>
    <w:qFormat/>
    <w:rsid w:val="00E72E13"/>
    <w:pPr>
      <w:numPr>
        <w:numId w:val="1"/>
      </w:numPr>
      <w:tabs>
        <w:tab w:val="left" w:pos="426"/>
      </w:tabs>
      <w:spacing w:before="240" w:after="0" w:line="240" w:lineRule="auto"/>
      <w:ind w:left="425" w:hanging="425"/>
      <w:contextualSpacing/>
      <w:jc w:val="both"/>
    </w:pPr>
    <w:rPr>
      <w:rFonts w:ascii="Times New Roman" w:hAnsi="Times New Roman" w:cs="Times New Roman"/>
      <w:noProof/>
      <w:sz w:val="24"/>
    </w:rPr>
  </w:style>
  <w:style w:type="character" w:customStyle="1" w:styleId="Withoutspacing">
    <w:name w:val="Without spacing Знак"/>
    <w:link w:val="Withoutspacing0"/>
    <w:locked/>
    <w:rsid w:val="00E72E13"/>
    <w:rPr>
      <w:rFonts w:ascii="Times New Roman" w:hAnsi="Times New Roman" w:cs="Times New Roman"/>
      <w:sz w:val="24"/>
    </w:rPr>
  </w:style>
  <w:style w:type="paragraph" w:customStyle="1" w:styleId="Withoutspacing0">
    <w:name w:val="Without spacing"/>
    <w:link w:val="Withoutspacing"/>
    <w:qFormat/>
    <w:rsid w:val="00E72E1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D2A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7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3D"/>
    <w:rPr>
      <w:rFonts w:ascii="Segoe UI" w:hAnsi="Segoe UI" w:cs="Segoe UI"/>
      <w:sz w:val="18"/>
      <w:szCs w:val="18"/>
    </w:rPr>
  </w:style>
  <w:style w:type="paragraph" w:customStyle="1" w:styleId="Tableofcontents">
    <w:name w:val="Table of contents"/>
    <w:basedOn w:val="a"/>
    <w:autoRedefine/>
    <w:rsid w:val="001B5790"/>
    <w:pPr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AuthorsFull">
    <w:name w:val="Authors Full"/>
    <w:basedOn w:val="a"/>
    <w:rsid w:val="001B5790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D419F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styleId="a7">
    <w:name w:val="Strong"/>
    <w:basedOn w:val="a0"/>
    <w:uiPriority w:val="22"/>
    <w:qFormat/>
    <w:rsid w:val="000179A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79A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Wright</dc:creator>
  <cp:lastModifiedBy>Dell Alienware</cp:lastModifiedBy>
  <cp:revision>2</cp:revision>
  <cp:lastPrinted>2017-04-06T09:33:00Z</cp:lastPrinted>
  <dcterms:created xsi:type="dcterms:W3CDTF">2024-09-20T08:45:00Z</dcterms:created>
  <dcterms:modified xsi:type="dcterms:W3CDTF">2024-09-20T08:45:00Z</dcterms:modified>
</cp:coreProperties>
</file>