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59" w:type="dxa"/>
        <w:tblInd w:w="8" w:type="dxa"/>
        <w:tblLayout w:type="fixed"/>
        <w:tblCellMar>
          <w:left w:w="0" w:type="dxa"/>
          <w:right w:w="0" w:type="dxa"/>
        </w:tblCellMar>
        <w:tblLook w:val="0000" w:firstRow="0" w:lastRow="0" w:firstColumn="0" w:lastColumn="0" w:noHBand="0" w:noVBand="0"/>
      </w:tblPr>
      <w:tblGrid>
        <w:gridCol w:w="8959"/>
      </w:tblGrid>
      <w:tr w:rsidR="00935ABD" w:rsidRPr="008B3A77" w14:paraId="14A6F893" w14:textId="77777777" w:rsidTr="00A87B49">
        <w:tc>
          <w:tcPr>
            <w:tcW w:w="8959" w:type="dxa"/>
          </w:tcPr>
          <w:p w14:paraId="1317D730" w14:textId="7B7E6D64" w:rsidR="00935ABD" w:rsidRPr="00AE1E9C" w:rsidRDefault="00AE1E9C" w:rsidP="0036515C">
            <w:pPr>
              <w:pStyle w:val="a6"/>
              <w:rPr>
                <w:bCs/>
                <w:szCs w:val="30"/>
                <w:lang w:val="en-US"/>
              </w:rPr>
            </w:pPr>
            <w:r w:rsidRPr="00AE1E9C">
              <w:rPr>
                <w:bCs/>
                <w:szCs w:val="30"/>
                <w:lang w:val="en-US"/>
              </w:rPr>
              <w:t>Measurement of the Standard Model at the TeV colliders</w:t>
            </w:r>
          </w:p>
        </w:tc>
      </w:tr>
      <w:tr w:rsidR="00935ABD" w:rsidRPr="00D90068" w14:paraId="2284B451" w14:textId="77777777" w:rsidTr="00A87B49">
        <w:tc>
          <w:tcPr>
            <w:tcW w:w="8959" w:type="dxa"/>
          </w:tcPr>
          <w:p w14:paraId="649AD25A" w14:textId="527DEEDE" w:rsidR="00935ABD" w:rsidRPr="00D90068" w:rsidRDefault="00AE1E9C" w:rsidP="006E636F">
            <w:pPr>
              <w:pStyle w:val="Author"/>
              <w:jc w:val="center"/>
              <w:rPr>
                <w:lang w:val="en-US"/>
              </w:rPr>
            </w:pPr>
            <w:r>
              <w:rPr>
                <w:lang w:val="en-US"/>
              </w:rPr>
              <w:t>Eldor</w:t>
            </w:r>
            <w:r w:rsidRPr="00AE1E9C">
              <w:rPr>
                <w:lang w:val="en-US"/>
              </w:rPr>
              <w:t xml:space="preserve"> </w:t>
            </w:r>
            <w:r>
              <w:rPr>
                <w:lang w:val="en-US"/>
              </w:rPr>
              <w:t>Eshobobo ugli Dustmurodov</w:t>
            </w:r>
            <w:r w:rsidR="008850D4">
              <w:rPr>
                <w:vertAlign w:val="superscript"/>
                <w:lang w:val="en-US"/>
              </w:rPr>
              <w:t>1,2</w:t>
            </w:r>
            <w:r w:rsidR="00D90068">
              <w:rPr>
                <w:lang w:val="en-US"/>
              </w:rPr>
              <w:t>, Mavjuda Yuldashevna Mansurova</w:t>
            </w:r>
            <w:r w:rsidR="00D90068">
              <w:rPr>
                <w:vertAlign w:val="superscript"/>
                <w:lang w:val="en-US"/>
              </w:rPr>
              <w:t>1</w:t>
            </w:r>
            <w:r w:rsidR="00D90068">
              <w:rPr>
                <w:lang w:val="en-US"/>
              </w:rPr>
              <w:t xml:space="preserve">, </w:t>
            </w:r>
            <w:r w:rsidR="00D90068" w:rsidRPr="00D90068">
              <w:rPr>
                <w:lang w:val="en-US"/>
              </w:rPr>
              <w:t>Gulnoza Sultankhodjaeva</w:t>
            </w:r>
            <w:r w:rsidR="00D90068" w:rsidRPr="00D90068">
              <w:rPr>
                <w:vertAlign w:val="superscript"/>
                <w:lang w:val="en-US"/>
              </w:rPr>
              <w:t>1</w:t>
            </w:r>
            <w:r w:rsidR="00D90068">
              <w:rPr>
                <w:lang w:val="en-US"/>
              </w:rPr>
              <w:t>, Gulnora Kasimova</w:t>
            </w:r>
            <w:r w:rsidR="00D90068">
              <w:rPr>
                <w:vertAlign w:val="superscript"/>
                <w:lang w:val="en-US"/>
              </w:rPr>
              <w:t>1</w:t>
            </w:r>
            <w:r w:rsidR="00D90068">
              <w:rPr>
                <w:lang w:val="en-US"/>
              </w:rPr>
              <w:t xml:space="preserve"> </w:t>
            </w:r>
          </w:p>
        </w:tc>
      </w:tr>
      <w:tr w:rsidR="00935ABD" w:rsidRPr="00C5537D" w14:paraId="2EB096F6" w14:textId="77777777" w:rsidTr="00A87B49">
        <w:tc>
          <w:tcPr>
            <w:tcW w:w="8959" w:type="dxa"/>
          </w:tcPr>
          <w:p w14:paraId="7CBF5789" w14:textId="74DF38A8" w:rsidR="00280FEB" w:rsidRDefault="004E7621" w:rsidP="00280FEB">
            <w:pPr>
              <w:pStyle w:val="Affiliation"/>
              <w:spacing w:after="0"/>
              <w:jc w:val="center"/>
              <w:rPr>
                <w:lang w:val="en-US"/>
              </w:rPr>
            </w:pPr>
            <w:r w:rsidRPr="00AE1E9C">
              <w:rPr>
                <w:vertAlign w:val="superscript"/>
                <w:lang w:val="en-US"/>
              </w:rPr>
              <w:t>1</w:t>
            </w:r>
            <w:r w:rsidR="00971E35" w:rsidRPr="00AE1E9C">
              <w:rPr>
                <w:lang w:val="en-US"/>
              </w:rPr>
              <w:t xml:space="preserve"> </w:t>
            </w:r>
            <w:r w:rsidR="00AE1E9C" w:rsidRPr="00AE1E9C">
              <w:rPr>
                <w:lang w:val="en-US"/>
              </w:rPr>
              <w:t>Tashkent State University of Transport</w:t>
            </w:r>
            <w:r w:rsidR="008B6353">
              <w:rPr>
                <w:lang w:val="en-US"/>
              </w:rPr>
              <w:t xml:space="preserve">, </w:t>
            </w:r>
            <w:r w:rsidR="008B6353" w:rsidRPr="008B6353">
              <w:rPr>
                <w:lang w:val="en-US"/>
              </w:rPr>
              <w:t>Tashkent, Uzbekistan</w:t>
            </w:r>
          </w:p>
          <w:p w14:paraId="0587FB09" w14:textId="13E806AF" w:rsidR="008B6353" w:rsidRPr="00351654" w:rsidRDefault="008B6353" w:rsidP="00351654">
            <w:pPr>
              <w:pStyle w:val="Abstract"/>
              <w:spacing w:after="0"/>
              <w:jc w:val="center"/>
              <w:rPr>
                <w:i/>
                <w:iCs/>
                <w:lang w:val="en-US"/>
              </w:rPr>
            </w:pPr>
            <w:r w:rsidRPr="008B6353">
              <w:rPr>
                <w:i/>
                <w:iCs/>
                <w:vertAlign w:val="superscript"/>
                <w:lang w:val="en-US"/>
              </w:rPr>
              <w:t xml:space="preserve">2 </w:t>
            </w:r>
            <w:r w:rsidRPr="008B6353">
              <w:rPr>
                <w:i/>
                <w:iCs/>
                <w:lang w:val="en-US"/>
              </w:rPr>
              <w:t>Institute of Nuclear Physics, Uzbekistan Academy of Sciences, Tashkent, Uzbekistan</w:t>
            </w:r>
          </w:p>
          <w:p w14:paraId="43CD1BCE" w14:textId="77D5FC37" w:rsidR="00935ABD" w:rsidRPr="00C5537D" w:rsidRDefault="00716C7F" w:rsidP="008B6353">
            <w:pPr>
              <w:pStyle w:val="Abstract"/>
              <w:spacing w:after="0"/>
              <w:jc w:val="center"/>
              <w:rPr>
                <w:lang w:val="en-US"/>
              </w:rPr>
            </w:pPr>
            <w:hyperlink r:id="rId8" w:history="1">
              <w:r w:rsidR="00C5537D" w:rsidRPr="00A934FF">
                <w:rPr>
                  <w:rStyle w:val="a5"/>
                  <w:lang w:val="uz-Cyrl-UZ"/>
                </w:rPr>
                <w:t>eldordustmurodov@mail.ru</w:t>
              </w:r>
            </w:hyperlink>
            <w:r w:rsidR="00C5537D">
              <w:rPr>
                <w:rStyle w:val="a5"/>
                <w:color w:val="auto"/>
                <w:u w:val="none"/>
                <w:lang w:val="en-US"/>
              </w:rPr>
              <w:t xml:space="preserve"> </w:t>
            </w:r>
          </w:p>
        </w:tc>
      </w:tr>
    </w:tbl>
    <w:p w14:paraId="479C2F23" w14:textId="10F94EE7" w:rsidR="00935ABD" w:rsidRPr="00AE1E9C" w:rsidRDefault="00AE1E9C" w:rsidP="00935ABD">
      <w:pPr>
        <w:pStyle w:val="Abstract"/>
        <w:spacing w:before="960" w:after="0"/>
        <w:ind w:left="1134" w:hanging="1134"/>
        <w:jc w:val="both"/>
        <w:rPr>
          <w:lang w:val="en-US"/>
        </w:rPr>
      </w:pPr>
      <w:r>
        <w:rPr>
          <w:rFonts w:eastAsia="Calibri"/>
          <w:color w:val="000000"/>
          <w:szCs w:val="18"/>
          <w:lang w:val="en-US"/>
        </w:rPr>
        <w:t>Keywords</w:t>
      </w:r>
      <w:r w:rsidR="0073111C" w:rsidRPr="00AE1E9C">
        <w:rPr>
          <w:rFonts w:eastAsia="Calibri"/>
          <w:color w:val="000000"/>
          <w:szCs w:val="18"/>
          <w:lang w:val="en-US"/>
        </w:rPr>
        <w:t xml:space="preserve">:  </w:t>
      </w:r>
      <w:r w:rsidR="00935ABD" w:rsidRPr="00AE1E9C">
        <w:rPr>
          <w:lang w:val="en-US"/>
        </w:rPr>
        <w:tab/>
      </w:r>
      <w:r w:rsidRPr="00AE1E9C">
        <w:rPr>
          <w:rFonts w:eastAsia="Calibri"/>
          <w:color w:val="000000"/>
          <w:szCs w:val="18"/>
          <w:lang w:val="en-US"/>
        </w:rPr>
        <w:t>Parton Distribution Functions (PDF), pA - proton-nucleus, QCD - Quantum Chromodynamics, NLO - Next-to-Leading Order transverse cross section.</w:t>
      </w:r>
    </w:p>
    <w:p w14:paraId="1C5DAF54" w14:textId="3E881D0F" w:rsidR="0073111C" w:rsidRPr="00AE1E9C" w:rsidRDefault="00AE1E9C" w:rsidP="0073111C">
      <w:pPr>
        <w:pStyle w:val="Abstract"/>
        <w:spacing w:before="240" w:after="600"/>
        <w:ind w:left="1134" w:hanging="1134"/>
        <w:jc w:val="both"/>
        <w:rPr>
          <w:rFonts w:eastAsia="Calibri"/>
          <w:color w:val="000000"/>
          <w:szCs w:val="18"/>
          <w:lang w:val="en-US"/>
        </w:rPr>
      </w:pPr>
      <w:r>
        <w:rPr>
          <w:lang w:val="en-US"/>
        </w:rPr>
        <w:t>Annotation</w:t>
      </w:r>
      <w:r w:rsidR="0073111C" w:rsidRPr="00AE1E9C">
        <w:rPr>
          <w:lang w:val="en-US"/>
        </w:rPr>
        <w:t>:</w:t>
      </w:r>
      <w:r w:rsidR="00935ABD" w:rsidRPr="00AE1E9C">
        <w:rPr>
          <w:lang w:val="en-US"/>
        </w:rPr>
        <w:tab/>
      </w:r>
      <w:r w:rsidRPr="00AE1E9C">
        <w:rPr>
          <w:rFonts w:eastAsia="Calibri"/>
          <w:color w:val="000000"/>
          <w:szCs w:val="18"/>
          <w:lang w:val="en-US"/>
        </w:rPr>
        <w:t>We have studied that the LHC data for Standard Model (SM) processes cover a very wide kinematic range, providing access to transverse momenta and masses of the order of TeV and above. For an accurate understanding at such scales, it is necessary to consider higher-order electroweak (EW) corrections in addition to QCD corrections. SM data obtained at 7 TeV and 8 TeV, with their small statistical uncertainties and decreasing (over time) systematic errors, are useful not only for testing theoretical predictions but also as input data for the global parton distribution function (PDF).</w:t>
      </w:r>
      <w:r w:rsidR="0073111C" w:rsidRPr="00AE1E9C">
        <w:rPr>
          <w:rFonts w:eastAsia="Calibri"/>
          <w:color w:val="000000"/>
          <w:szCs w:val="18"/>
          <w:lang w:val="en-US"/>
        </w:rPr>
        <w:t xml:space="preserve"> </w:t>
      </w:r>
    </w:p>
    <w:p w14:paraId="3A05F358" w14:textId="77777777" w:rsidR="00935ABD" w:rsidRPr="00AE1E9C" w:rsidRDefault="00935ABD" w:rsidP="00935ABD">
      <w:pPr>
        <w:rPr>
          <w:lang w:val="en-US"/>
        </w:rPr>
        <w:sectPr w:rsidR="00935ABD" w:rsidRPr="00AE1E9C" w:rsidSect="00935ABD">
          <w:headerReference w:type="even" r:id="rId9"/>
          <w:headerReference w:type="default" r:id="rId10"/>
          <w:pgSz w:w="11907" w:h="16840" w:code="9"/>
          <w:pgMar w:top="1871" w:right="1474" w:bottom="2381" w:left="1474" w:header="794" w:footer="1417" w:gutter="0"/>
          <w:cols w:space="720"/>
          <w:titlePg/>
          <w:docGrid w:linePitch="272"/>
        </w:sectPr>
      </w:pPr>
    </w:p>
    <w:p w14:paraId="11554D37" w14:textId="281801F4" w:rsidR="00935ABD" w:rsidRPr="00351654" w:rsidRDefault="00935ABD" w:rsidP="00935ABD">
      <w:pPr>
        <w:pStyle w:val="1"/>
        <w:numPr>
          <w:ilvl w:val="0"/>
          <w:numId w:val="0"/>
        </w:numPr>
        <w:tabs>
          <w:tab w:val="clear" w:pos="426"/>
        </w:tabs>
        <w:spacing w:before="0" w:after="240"/>
        <w:ind w:left="397" w:hanging="397"/>
        <w:rPr>
          <w:lang w:val="en-US"/>
        </w:rPr>
      </w:pPr>
      <w:r w:rsidRPr="00AE1E9C">
        <w:rPr>
          <w:lang w:val="en-US"/>
        </w:rPr>
        <w:tab/>
      </w:r>
      <w:r w:rsidR="00AE1E9C" w:rsidRPr="00AE1E9C">
        <w:rPr>
          <w:bCs/>
          <w:sz w:val="28"/>
          <w:szCs w:val="28"/>
          <w:lang w:val="en-US"/>
        </w:rPr>
        <w:t>Introduction</w:t>
      </w:r>
    </w:p>
    <w:p w14:paraId="69095CA8" w14:textId="1407F221" w:rsidR="00626F9C" w:rsidRPr="00AE1E9C" w:rsidRDefault="00AE1E9C" w:rsidP="00626F9C">
      <w:pPr>
        <w:ind w:firstLine="284"/>
        <w:jc w:val="both"/>
        <w:rPr>
          <w:rFonts w:ascii="Times" w:eastAsia="Times New Roman" w:hAnsi="Times" w:cs="Times"/>
          <w:color w:val="000000"/>
          <w:sz w:val="20"/>
          <w:szCs w:val="20"/>
          <w:lang w:val="en-US" w:eastAsia="ru-RU"/>
        </w:rPr>
      </w:pPr>
      <w:r w:rsidRPr="00AE1E9C">
        <w:rPr>
          <w:rFonts w:ascii="Times" w:eastAsia="Times New Roman" w:hAnsi="Times" w:cs="Times"/>
          <w:color w:val="000000"/>
          <w:sz w:val="20"/>
          <w:szCs w:val="20"/>
          <w:lang w:val="en-US" w:eastAsia="ru-RU"/>
        </w:rPr>
        <w:t>Among various mechanisms for the production of the Higgs boson (H) within the framework of the Standard Model, gluon-gluon fusion (GGF) through a virtual loop of top quarks has the largest cross-section at the Large Hadron Collider (LHC). Although direct measurements of the properties of the Higgs boson in this channel, without imposing any constraints on additional jets, are challenging due to the large QCD background, precise theoretical predictions for associated Higgs boson production and jets in GGF are important for several reasons. On one hand, the ability to reliably estimate theoretical uncertainty when applying jet veto largely depends on the knowledge of inclusive and exclusive cross-sections for Higgs boson production and additional jets. On the other hand, Higgs boson production together with two jets in GGF is one of the main irreducible backgrounds for studying the Higgs boson formation via vector boson fusion (VBF), which allows for direct exploration of the Higgs boson's connection with other electroweak bosons.</w:t>
      </w:r>
      <w:r w:rsidR="00626F9C" w:rsidRPr="00AE1E9C">
        <w:rPr>
          <w:rFonts w:ascii="Times" w:eastAsia="Times New Roman" w:hAnsi="Times" w:cs="Times"/>
          <w:color w:val="000000"/>
          <w:sz w:val="20"/>
          <w:szCs w:val="20"/>
          <w:lang w:val="en-US" w:eastAsia="ru-RU"/>
        </w:rPr>
        <w:t xml:space="preserve"> </w:t>
      </w:r>
    </w:p>
    <w:p w14:paraId="4876203E" w14:textId="63CE61AC" w:rsidR="00626F9C" w:rsidRPr="00AE1E9C" w:rsidRDefault="00AE1E9C" w:rsidP="00626F9C">
      <w:pPr>
        <w:ind w:firstLine="284"/>
        <w:jc w:val="both"/>
        <w:rPr>
          <w:rFonts w:ascii="Times" w:eastAsia="Times New Roman" w:hAnsi="Times" w:cs="Times"/>
          <w:color w:val="000000"/>
          <w:sz w:val="20"/>
          <w:szCs w:val="20"/>
          <w:lang w:val="en-US" w:eastAsia="ru-RU"/>
        </w:rPr>
      </w:pPr>
      <w:r w:rsidRPr="00AE1E9C">
        <w:rPr>
          <w:rFonts w:ascii="Times" w:eastAsia="Times New Roman" w:hAnsi="Times" w:cs="Times"/>
          <w:color w:val="000000"/>
          <w:sz w:val="20"/>
          <w:szCs w:val="20"/>
          <w:lang w:val="en-US" w:eastAsia="ru-RU"/>
        </w:rPr>
        <w:t xml:space="preserve">The contribution of leading order (LO) in Higgs boson production combined with two jets (H+2-jets) and three jets (H+3-jets), while preserving the full dependence on the top quark mass (mt), has been computed accordingly in the references. These </w:t>
      </w:r>
      <w:r w:rsidRPr="00AE1E9C">
        <w:rPr>
          <w:rFonts w:ascii="Times" w:eastAsia="Times New Roman" w:hAnsi="Times" w:cs="Times"/>
          <w:color w:val="000000"/>
          <w:sz w:val="20"/>
          <w:szCs w:val="20"/>
          <w:lang w:val="en-US" w:eastAsia="ru-RU"/>
        </w:rPr>
        <w:t>calculations have shown that the large top mass approximation (mt → ∞) holds whenever the mass of the Higgs boson and the transverse momentum (pT) of the jets are only slightly larger than the top quark mass. In the results presented here, we adopt this approximation and introduce a set of effective vertices that directly couple the Higgs boson to two, three, and four gluons.</w:t>
      </w:r>
    </w:p>
    <w:p w14:paraId="6870082E" w14:textId="789931CA" w:rsidR="00935ABD" w:rsidRPr="00ED3FA8" w:rsidRDefault="00935ABD" w:rsidP="0073111C">
      <w:pPr>
        <w:pStyle w:val="1"/>
        <w:numPr>
          <w:ilvl w:val="0"/>
          <w:numId w:val="0"/>
        </w:numPr>
        <w:tabs>
          <w:tab w:val="clear" w:pos="426"/>
        </w:tabs>
        <w:spacing w:before="480" w:after="240"/>
        <w:rPr>
          <w:szCs w:val="26"/>
        </w:rPr>
      </w:pPr>
      <w:r>
        <w:tab/>
      </w:r>
      <w:r w:rsidR="00AE1E9C">
        <w:rPr>
          <w:bCs/>
          <w:sz w:val="28"/>
          <w:szCs w:val="28"/>
        </w:rPr>
        <w:t xml:space="preserve">Results </w:t>
      </w:r>
    </w:p>
    <w:p w14:paraId="1AC5FFFC" w14:textId="7DD10FED" w:rsidR="00AE1E9C" w:rsidRDefault="00AE1E9C" w:rsidP="006E636F">
      <w:pPr>
        <w:ind w:firstLine="284"/>
        <w:jc w:val="both"/>
        <w:rPr>
          <w:rFonts w:ascii="Times New Roman" w:hAnsi="Times New Roman"/>
          <w:color w:val="000000"/>
          <w:sz w:val="20"/>
          <w:szCs w:val="20"/>
          <w:lang w:val="en-US"/>
        </w:rPr>
      </w:pPr>
      <w:r w:rsidRPr="00AE1E9C">
        <w:rPr>
          <w:rFonts w:ascii="Times New Roman" w:hAnsi="Times New Roman"/>
          <w:color w:val="000000"/>
          <w:sz w:val="20"/>
          <w:szCs w:val="20"/>
          <w:lang w:val="en-US"/>
        </w:rPr>
        <w:t xml:space="preserve">Results. We begin our discussion by presenting several predictions for the distribution of the Higgs boson velocity in Fig. 1. In all three panels of this figure, we show the same NLO prediction for H+3-jets production (red lines) and compare it on the two left panels with two different LO precision predictions for H+3-jets (blue lines). We observe large, O(50%), positive corrections distributed almost uniformly across the entire range of Higgs velocity; they increase in the forward/backward region. On the far-left panel, both LO and NLO predictions were obtained from the same set of NLO PDFs, namely CT10nlo. As seen on the middle panel, corrections decrease by </w:t>
      </w:r>
      <w:r w:rsidRPr="00AE1E9C">
        <w:rPr>
          <w:rFonts w:ascii="Cambria Math" w:hAnsi="Cambria Math" w:cs="Cambria Math"/>
          <w:color w:val="000000"/>
          <w:sz w:val="20"/>
          <w:szCs w:val="20"/>
          <w:lang w:val="en-US"/>
        </w:rPr>
        <w:t>∼</w:t>
      </w:r>
      <w:r w:rsidRPr="00AE1E9C">
        <w:rPr>
          <w:rFonts w:ascii="Times New Roman" w:hAnsi="Times New Roman"/>
          <w:color w:val="000000"/>
          <w:sz w:val="20"/>
          <w:szCs w:val="20"/>
          <w:lang w:val="en-US"/>
        </w:rPr>
        <w:t xml:space="preserve">20% if a prescription is used that agrees between PDF sets and parton-level calculations. Then, half of the effect can simply be attributed to the </w:t>
      </w:r>
      <w:r w:rsidRPr="00AE1E9C">
        <w:rPr>
          <w:rFonts w:ascii="Times New Roman" w:hAnsi="Times New Roman"/>
          <w:color w:val="000000"/>
          <w:sz w:val="20"/>
          <w:szCs w:val="20"/>
          <w:lang w:val="en-US"/>
        </w:rPr>
        <w:lastRenderedPageBreak/>
        <w:t xml:space="preserve">larger value of as(MZ) in the cteq6l1 parametrization, which we used to compute the LO result in the middle panel. The scale uncertainties of central predictions are shown by corresponding bands of the same color. </w:t>
      </w:r>
      <w:r w:rsidR="008B6353" w:rsidRPr="00AE1E9C">
        <w:rPr>
          <w:noProof/>
          <w:sz w:val="20"/>
          <w:szCs w:val="20"/>
        </w:rPr>
        <w:drawing>
          <wp:anchor distT="0" distB="0" distL="114300" distR="114300" simplePos="0" relativeHeight="251667456" behindDoc="0" locked="0" layoutInCell="1" allowOverlap="1" wp14:anchorId="6055D86A" wp14:editId="208581BB">
            <wp:simplePos x="0" y="0"/>
            <wp:positionH relativeFrom="column">
              <wp:posOffset>3143885</wp:posOffset>
            </wp:positionH>
            <wp:positionV relativeFrom="paragraph">
              <wp:posOffset>784772</wp:posOffset>
            </wp:positionV>
            <wp:extent cx="2468880" cy="3300730"/>
            <wp:effectExtent l="0" t="0" r="7620" b="0"/>
            <wp:wrapTopAndBottom/>
            <wp:docPr id="125833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3774" name=""/>
                    <pic:cNvPicPr/>
                  </pic:nvPicPr>
                  <pic:blipFill rotWithShape="1">
                    <a:blip r:embed="rId11">
                      <a:extLst>
                        <a:ext uri="{28A0092B-C50C-407E-A947-70E740481C1C}">
                          <a14:useLocalDpi xmlns:a14="http://schemas.microsoft.com/office/drawing/2010/main" val="0"/>
                        </a:ext>
                      </a:extLst>
                    </a:blip>
                    <a:srcRect l="43490" t="19124" r="25801" b="7914"/>
                    <a:stretch/>
                  </pic:blipFill>
                  <pic:spPr bwMode="auto">
                    <a:xfrm>
                      <a:off x="0" y="0"/>
                      <a:ext cx="2468880" cy="330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1E9C">
        <w:rPr>
          <w:rFonts w:ascii="Times New Roman" w:hAnsi="Times New Roman"/>
          <w:color w:val="000000"/>
          <w:sz w:val="20"/>
          <w:szCs w:val="20"/>
          <w:lang w:val="en-US"/>
        </w:rPr>
        <w:t>By advancing the description accuracy to NLO, we find a reduction of these errors from ±50% to less than 30% in magnitude, which also means that scale variation bands go from quite symmetric to rather one-sided.</w:t>
      </w:r>
    </w:p>
    <w:p w14:paraId="41E49655" w14:textId="65311CF7" w:rsidR="0073111C" w:rsidRDefault="0073111C" w:rsidP="006E636F">
      <w:pPr>
        <w:ind w:firstLine="284"/>
        <w:jc w:val="both"/>
        <w:rPr>
          <w:rFonts w:ascii="Times New Roman" w:hAnsi="Times New Roman"/>
          <w:color w:val="000000"/>
          <w:sz w:val="20"/>
          <w:szCs w:val="20"/>
          <w:lang w:val="en-US"/>
        </w:rPr>
      </w:pPr>
      <w:r w:rsidRPr="00AE1E9C">
        <w:rPr>
          <w:noProof/>
          <w:sz w:val="20"/>
          <w:szCs w:val="20"/>
        </w:rPr>
        <w:drawing>
          <wp:anchor distT="0" distB="0" distL="114300" distR="114300" simplePos="0" relativeHeight="251665408" behindDoc="0" locked="0" layoutInCell="1" allowOverlap="1" wp14:anchorId="6B7C5BA9" wp14:editId="6994F963">
            <wp:simplePos x="0" y="0"/>
            <wp:positionH relativeFrom="column">
              <wp:posOffset>699281</wp:posOffset>
            </wp:positionH>
            <wp:positionV relativeFrom="paragraph">
              <wp:posOffset>1867974</wp:posOffset>
            </wp:positionV>
            <wp:extent cx="1376045" cy="1277620"/>
            <wp:effectExtent l="0" t="0" r="0" b="0"/>
            <wp:wrapTopAndBottom/>
            <wp:docPr id="845726558" name="Рисунок 84572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6024" name=""/>
                    <pic:cNvPicPr/>
                  </pic:nvPicPr>
                  <pic:blipFill rotWithShape="1">
                    <a:blip r:embed="rId12" cstate="print">
                      <a:extLst>
                        <a:ext uri="{28A0092B-C50C-407E-A947-70E740481C1C}">
                          <a14:useLocalDpi xmlns:a14="http://schemas.microsoft.com/office/drawing/2010/main" val="0"/>
                        </a:ext>
                      </a:extLst>
                    </a:blip>
                    <a:srcRect l="72160" t="27104" r="1485" b="29387"/>
                    <a:stretch/>
                  </pic:blipFill>
                  <pic:spPr bwMode="auto">
                    <a:xfrm>
                      <a:off x="0" y="0"/>
                      <a:ext cx="1376045" cy="127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E9C">
        <w:rPr>
          <w:noProof/>
          <w:sz w:val="20"/>
          <w:szCs w:val="20"/>
        </w:rPr>
        <w:drawing>
          <wp:anchor distT="0" distB="0" distL="114300" distR="114300" simplePos="0" relativeHeight="251663360" behindDoc="0" locked="0" layoutInCell="1" allowOverlap="1" wp14:anchorId="65B00558" wp14:editId="55C69B41">
            <wp:simplePos x="0" y="0"/>
            <wp:positionH relativeFrom="column">
              <wp:posOffset>36439</wp:posOffset>
            </wp:positionH>
            <wp:positionV relativeFrom="paragraph">
              <wp:posOffset>644867</wp:posOffset>
            </wp:positionV>
            <wp:extent cx="2620010" cy="1223010"/>
            <wp:effectExtent l="0" t="0" r="8890" b="0"/>
            <wp:wrapTopAndBottom/>
            <wp:docPr id="827216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16024" name=""/>
                    <pic:cNvPicPr/>
                  </pic:nvPicPr>
                  <pic:blipFill rotWithShape="1">
                    <a:blip r:embed="rId13" cstate="print">
                      <a:extLst>
                        <a:ext uri="{28A0092B-C50C-407E-A947-70E740481C1C}">
                          <a14:useLocalDpi xmlns:a14="http://schemas.microsoft.com/office/drawing/2010/main" val="0"/>
                        </a:ext>
                      </a:extLst>
                    </a:blip>
                    <a:srcRect l="20253" t="27104" r="27354" b="29387"/>
                    <a:stretch/>
                  </pic:blipFill>
                  <pic:spPr bwMode="auto">
                    <a:xfrm>
                      <a:off x="0" y="0"/>
                      <a:ext cx="2620010" cy="1223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E9C" w:rsidRPr="00AE1E9C">
        <w:rPr>
          <w:sz w:val="20"/>
          <w:szCs w:val="20"/>
          <w:lang w:val="en-US"/>
        </w:rPr>
        <w:t xml:space="preserve"> </w:t>
      </w:r>
      <w:r w:rsidR="00AE1E9C" w:rsidRPr="00AE1E9C">
        <w:rPr>
          <w:rFonts w:ascii="Times New Roman" w:hAnsi="Times New Roman"/>
          <w:noProof/>
          <w:sz w:val="20"/>
          <w:szCs w:val="20"/>
          <w:lang w:val="en-US"/>
        </w:rPr>
        <w:t>This is a consequence of setting the central/default scales precisely where the plateau of the NLO cross-section lies</w:t>
      </w:r>
      <w:r w:rsidR="00626F9C" w:rsidRPr="00AE1E9C">
        <w:rPr>
          <w:rFonts w:ascii="Times New Roman" w:hAnsi="Times New Roman"/>
          <w:color w:val="000000"/>
          <w:sz w:val="20"/>
          <w:szCs w:val="20"/>
          <w:lang w:val="en-US"/>
        </w:rPr>
        <w:t>.</w:t>
      </w:r>
    </w:p>
    <w:p w14:paraId="380012F6" w14:textId="77777777" w:rsidR="00AE1E9C" w:rsidRPr="00AE1E9C" w:rsidRDefault="00AE1E9C" w:rsidP="006E636F">
      <w:pPr>
        <w:ind w:firstLine="284"/>
        <w:jc w:val="both"/>
        <w:rPr>
          <w:rFonts w:ascii="Times New Roman" w:hAnsi="Times New Roman"/>
          <w:color w:val="000000"/>
          <w:sz w:val="20"/>
          <w:szCs w:val="20"/>
          <w:lang w:val="en-US"/>
        </w:rPr>
      </w:pPr>
    </w:p>
    <w:p w14:paraId="5D5C1B06" w14:textId="77777777" w:rsidR="00AE1E9C" w:rsidRDefault="00AE1E9C" w:rsidP="00626F9C">
      <w:pPr>
        <w:ind w:firstLine="284"/>
        <w:jc w:val="both"/>
        <w:rPr>
          <w:rFonts w:ascii="Times New Roman" w:hAnsi="Times New Roman"/>
          <w:color w:val="000000"/>
          <w:sz w:val="20"/>
          <w:szCs w:val="20"/>
          <w:lang w:val="en-US"/>
        </w:rPr>
      </w:pPr>
      <w:r w:rsidRPr="00AE1E9C">
        <w:rPr>
          <w:rFonts w:ascii="Times New Roman" w:hAnsi="Times New Roman"/>
          <w:color w:val="000000"/>
          <w:sz w:val="20"/>
          <w:szCs w:val="20"/>
          <w:lang w:val="en-US"/>
        </w:rPr>
        <w:t>Figure 1: Distributions of Higgs boson velocities and their uncertainties in the scale of µR,F (shown by pastel-colored bands) for H+3-jets production at the LHC with a center-of-mass energy of 8 TeV. The two left plots show the comparison of NLO (red) and LO (blue) predictions, where the LO result on the left panel was obtained using the same PDF set as for the NLO calculation. The ratio plots at the bottom visualize the change in the K-factor across the range of Higgs boson velocities. The rightmost panel compares the distributions of yH for NLO samples with 3 jets (red) and 2 jets (blue) (only two tagging jets are required), while the bottom part shows their differential cross-section ratio.</w:t>
      </w:r>
    </w:p>
    <w:p w14:paraId="0BB3BF37" w14:textId="77777777" w:rsidR="00A1711A" w:rsidRDefault="00A1711A" w:rsidP="00626F9C">
      <w:pPr>
        <w:ind w:firstLine="284"/>
        <w:jc w:val="both"/>
        <w:rPr>
          <w:rFonts w:ascii="Times New Roman" w:hAnsi="Times New Roman"/>
          <w:color w:val="000000"/>
          <w:sz w:val="20"/>
          <w:szCs w:val="20"/>
          <w:lang w:val="en-US"/>
        </w:rPr>
      </w:pPr>
      <w:r w:rsidRPr="00A1711A">
        <w:rPr>
          <w:rFonts w:ascii="Times New Roman" w:hAnsi="Times New Roman"/>
          <w:color w:val="000000"/>
          <w:sz w:val="20"/>
          <w:szCs w:val="20"/>
          <w:lang w:val="en-US"/>
        </w:rPr>
        <w:t xml:space="preserve">The plot to the right of Fig. 1 represents a direct comparison of the distributions of yH obtained in the NLO samples with 2 jets (blue) and 3 jets (red). Scale fluctuations lead to O(20%) uncertainties over a fairly wide range of yH. Although the two NLO samples differ by an order of as, the associated scale uncertainties are comparable in size and only slightly smaller for the case of H+2-jets. Since we require no more than two tagging jets, the H+3-jets line on the bottom plot effectively visualizes the quantity r3/2 </w:t>
      </w:r>
      <w:r w:rsidRPr="00A1711A">
        <w:rPr>
          <w:rFonts w:ascii="Times New Roman" w:hAnsi="Times New Roman"/>
          <w:color w:val="000000"/>
          <w:sz w:val="20"/>
          <w:szCs w:val="20"/>
          <w:lang w:val="en-US"/>
        </w:rPr>
        <w:t>differently depending on yH. It varies slightly within the inclusively -0.3 value provided in the table above. The differential ratio also shows that Higgs boson production in the 3-jets sample occupies a somewhat more central position than in the 2-jets sample.</w:t>
      </w:r>
    </w:p>
    <w:p w14:paraId="542EC466" w14:textId="77777777" w:rsidR="00A1711A" w:rsidRPr="00C5537D" w:rsidRDefault="00A1711A" w:rsidP="00280FEB">
      <w:pPr>
        <w:ind w:firstLine="284"/>
        <w:jc w:val="both"/>
        <w:rPr>
          <w:rFonts w:ascii="Times New Roman" w:hAnsi="Times New Roman"/>
          <w:color w:val="000000"/>
          <w:sz w:val="20"/>
          <w:szCs w:val="20"/>
          <w:lang w:val="en-US"/>
        </w:rPr>
      </w:pPr>
      <w:r w:rsidRPr="00A1711A">
        <w:rPr>
          <w:rFonts w:ascii="Times New Roman" w:hAnsi="Times New Roman"/>
          <w:color w:val="000000"/>
          <w:sz w:val="20"/>
          <w:szCs w:val="20"/>
          <w:lang w:val="en-US"/>
        </w:rPr>
        <w:t xml:space="preserve">Figure 2: Higgs boson plus three-jet production in the leading (blue) and next-to-leading (green) orders for proton-proton collisions at Ecm = 8 TeV. Transverse momenta and velocities of the three leading jets are shown in the left and right columns, respectively. The scale uncertainties have been indicated by slightly shaded bands surrounding each central prediction. </w:t>
      </w:r>
      <w:r w:rsidRPr="00C5537D">
        <w:rPr>
          <w:rFonts w:ascii="Times New Roman" w:hAnsi="Times New Roman"/>
          <w:color w:val="000000"/>
          <w:sz w:val="20"/>
          <w:szCs w:val="20"/>
          <w:lang w:val="en-US"/>
        </w:rPr>
        <w:t>The bottom plots depict variations in the K-factor for each of these observed individual jets.</w:t>
      </w:r>
    </w:p>
    <w:p w14:paraId="0D00555B" w14:textId="21E808A1" w:rsidR="00A84E35" w:rsidRDefault="00A1711A" w:rsidP="008850D4">
      <w:pPr>
        <w:ind w:firstLine="284"/>
        <w:jc w:val="both"/>
        <w:rPr>
          <w:rFonts w:ascii="Times New Roman" w:hAnsi="Times New Roman"/>
          <w:color w:val="000000"/>
          <w:sz w:val="20"/>
          <w:szCs w:val="20"/>
          <w:lang w:val="en-US"/>
        </w:rPr>
      </w:pPr>
      <w:r w:rsidRPr="00A1711A">
        <w:rPr>
          <w:rFonts w:ascii="Times New Roman" w:hAnsi="Times New Roman"/>
          <w:color w:val="000000"/>
          <w:sz w:val="20"/>
          <w:szCs w:val="20"/>
          <w:lang w:val="en-US"/>
        </w:rPr>
        <w:t>Focusing on the transverse momenta and velocities of jets pT,j</w:t>
      </w:r>
      <w:r w:rsidR="00A84E35">
        <w:rPr>
          <w:rFonts w:ascii="Times New Roman" w:hAnsi="Times New Roman"/>
          <w:color w:val="000000"/>
          <w:sz w:val="20"/>
          <w:szCs w:val="20"/>
          <w:lang w:val="en-US"/>
        </w:rPr>
        <w:t xml:space="preserve"> </w:t>
      </w:r>
      <w:r w:rsidRPr="00A1711A">
        <w:rPr>
          <w:rFonts w:ascii="Times New Roman" w:hAnsi="Times New Roman"/>
          <w:color w:val="000000"/>
          <w:sz w:val="20"/>
          <w:szCs w:val="20"/>
          <w:lang w:val="en-US"/>
        </w:rPr>
        <w:t>(left columns) and yj</w:t>
      </w:r>
      <w:r w:rsidR="00A84E35">
        <w:rPr>
          <w:rFonts w:ascii="Times New Roman" w:hAnsi="Times New Roman"/>
          <w:color w:val="000000"/>
          <w:sz w:val="20"/>
          <w:szCs w:val="20"/>
          <w:lang w:val="en-US"/>
        </w:rPr>
        <w:t xml:space="preserve"> </w:t>
      </w:r>
      <w:r w:rsidRPr="00A1711A">
        <w:rPr>
          <w:rFonts w:ascii="Times New Roman" w:hAnsi="Times New Roman"/>
          <w:color w:val="000000"/>
          <w:sz w:val="20"/>
          <w:szCs w:val="20"/>
          <w:lang w:val="en-US"/>
        </w:rPr>
        <w:t>(right columns), as shown for the three leading jets in Fig. 2, we notice that they demonstrate very similar scale variation characteristics and error reduction as discussed for the yH</w:t>
      </w:r>
      <w:r w:rsidR="00A84E35">
        <w:rPr>
          <w:rFonts w:ascii="Times New Roman" w:hAnsi="Times New Roman"/>
          <w:color w:val="000000"/>
          <w:sz w:val="20"/>
          <w:szCs w:val="20"/>
          <w:lang w:val="en-US"/>
        </w:rPr>
        <w:t xml:space="preserve"> </w:t>
      </w:r>
      <w:r w:rsidRPr="00A1711A">
        <w:rPr>
          <w:rFonts w:ascii="Times New Roman" w:hAnsi="Times New Roman"/>
          <w:color w:val="000000"/>
          <w:sz w:val="20"/>
          <w:szCs w:val="20"/>
          <w:lang w:val="en-US"/>
        </w:rPr>
        <w:t>spectra presented in Fig. 1. Similarly, for the NLO corrections on jet velocities, we again find that they are fairly well described by constant positive shifts, which here amount to approximately 20%, see Fig. 2. In contrast, all differential K-factors associated with the pT</w:t>
      </w:r>
      <w:r w:rsidR="00A84E35">
        <w:rPr>
          <w:rFonts w:ascii="Times New Roman" w:hAnsi="Times New Roman"/>
          <w:color w:val="000000"/>
          <w:sz w:val="20"/>
          <w:szCs w:val="20"/>
          <w:lang w:val="en-US"/>
        </w:rPr>
        <w:t xml:space="preserve"> </w:t>
      </w:r>
      <w:r w:rsidRPr="00A1711A">
        <w:rPr>
          <w:rFonts w:ascii="Times New Roman" w:hAnsi="Times New Roman"/>
          <w:color w:val="000000"/>
          <w:sz w:val="20"/>
          <w:szCs w:val="20"/>
          <w:lang w:val="en-US"/>
        </w:rPr>
        <w:t xml:space="preserve">distributions in jets on this plot exhibit a decrease towards higher pT values. In other words, even though the velocity of the Higgs-associated jet formation increases at NLO, pT tails lose hardness when taking relative measures. This occurs due to </w:t>
      </w:r>
      <w:r w:rsidRPr="00A1711A">
        <w:rPr>
          <w:rFonts w:ascii="Times New Roman" w:hAnsi="Times New Roman"/>
          <w:color w:val="000000"/>
          <w:sz w:val="20"/>
          <w:szCs w:val="20"/>
          <w:lang w:val="en-US"/>
        </w:rPr>
        <w:lastRenderedPageBreak/>
        <w:t>additional radiation carried away by the fourth jet system, which shifts the spectra of all other jets towards lower values</w:t>
      </w:r>
      <w:r w:rsidR="00626F9C" w:rsidRPr="00A84E35">
        <w:rPr>
          <w:rFonts w:ascii="Times New Roman" w:hAnsi="Times New Roman"/>
          <w:color w:val="000000"/>
          <w:sz w:val="20"/>
          <w:szCs w:val="20"/>
          <w:lang w:val="en-US"/>
        </w:rPr>
        <w:t>[4].</w:t>
      </w:r>
    </w:p>
    <w:p w14:paraId="61A55B2E" w14:textId="77777777" w:rsidR="008B6353" w:rsidRDefault="008B6353" w:rsidP="008B6353">
      <w:pPr>
        <w:pStyle w:val="a8"/>
        <w:ind w:right="228" w:firstLine="0"/>
        <w:rPr>
          <w:b/>
          <w:bCs/>
          <w:sz w:val="28"/>
          <w:szCs w:val="28"/>
          <w:lang w:val="en-US"/>
        </w:rPr>
      </w:pPr>
    </w:p>
    <w:p w14:paraId="314F1E54" w14:textId="0094A5B2" w:rsidR="008B6353" w:rsidRPr="008B6353" w:rsidRDefault="008B6353" w:rsidP="008B6353">
      <w:pPr>
        <w:pStyle w:val="a8"/>
        <w:ind w:right="228" w:firstLine="284"/>
        <w:rPr>
          <w:b/>
          <w:bCs/>
          <w:sz w:val="28"/>
          <w:szCs w:val="28"/>
          <w:lang w:val="en-US"/>
        </w:rPr>
      </w:pPr>
      <w:r w:rsidRPr="008B6353">
        <w:rPr>
          <w:b/>
          <w:bCs/>
          <w:sz w:val="28"/>
          <w:szCs w:val="28"/>
          <w:lang w:val="en-US"/>
        </w:rPr>
        <w:t>Conculusion</w:t>
      </w:r>
    </w:p>
    <w:p w14:paraId="00BB7333" w14:textId="69F684BC" w:rsidR="00A84E35" w:rsidRDefault="00A84E35" w:rsidP="00BD4F1D">
      <w:pPr>
        <w:pStyle w:val="a8"/>
        <w:ind w:right="228" w:firstLine="284"/>
        <w:rPr>
          <w:lang w:val="en-US"/>
        </w:rPr>
      </w:pPr>
      <w:r w:rsidRPr="00A84E35">
        <w:rPr>
          <w:lang w:val="en-US"/>
        </w:rPr>
        <w:t xml:space="preserve">Utilizing recent advancements in automated NLO prediction calculations, we have reported on the results of NLO QCD in a similar ATLAS analysis of inclusive Higgs boson plus 2-jet and 3-jet final states. </w:t>
      </w:r>
    </w:p>
    <w:p w14:paraId="469F7A41" w14:textId="7A3DBDCD" w:rsidR="00A84E35" w:rsidRDefault="00A84E35" w:rsidP="00BD4F1D">
      <w:pPr>
        <w:pStyle w:val="a8"/>
        <w:ind w:right="228" w:firstLine="284"/>
        <w:rPr>
          <w:lang w:val="en-US"/>
        </w:rPr>
      </w:pPr>
      <w:r w:rsidRPr="00A84E35">
        <w:rPr>
          <w:lang w:val="en-US"/>
        </w:rPr>
        <w:t>Amplitudes for loop calculations were generated using GoSam and computed using new developments in methods for reducing sub-integral expressions, based on Laurent series expansion and implemented in the Ninja code. For the integration of amplitudes at tree-level and phase space, we utilized Sherpa and MadGraph/Dipole/Event framework.</w:t>
      </w:r>
    </w:p>
    <w:p w14:paraId="2DA74F05" w14:textId="4992DF1B" w:rsidR="00A84E35" w:rsidRDefault="00A84E35" w:rsidP="00502CD9">
      <w:pPr>
        <w:pStyle w:val="a8"/>
        <w:ind w:right="228" w:firstLine="284"/>
        <w:rPr>
          <w:lang w:val="en-US"/>
        </w:rPr>
      </w:pPr>
      <w:r w:rsidRPr="00A84E35">
        <w:rPr>
          <w:lang w:val="en-US"/>
        </w:rPr>
        <w:t>We believe that NLO corrections are significant and lead to a substantial change in jet velocity and hardness. At the level of the inclusive cross-section, we observe an increase of almost 30% for both H+2-jets and H+3-jets, while the scale variation decreases to approximately 15%. Looking at the differential distributions, we observe that the velocity distributions for the Higgs boson and the first three leading jets experience a positive shift of approximately 20%, which remains fairly constant across the entire kinematic range. Instead, for the transverse momentum distributions of jets, we observe a decrease in the K-factor towards higher  pT</w:t>
      </w:r>
      <w:r>
        <w:rPr>
          <w:lang w:val="en-US"/>
        </w:rPr>
        <w:t xml:space="preserve"> </w:t>
      </w:r>
      <w:r w:rsidRPr="00A84E35">
        <w:rPr>
          <w:lang w:val="en-US"/>
        </w:rPr>
        <w:t>values, while for the transverse momentum distribution of the Higgs boson, this decrease occurs very slowly. The differential ratios r</w:t>
      </w:r>
      <w:r w:rsidRPr="00A84E35">
        <w:rPr>
          <w:vertAlign w:val="subscript"/>
          <w:lang w:val="en-US"/>
        </w:rPr>
        <w:t xml:space="preserve">3/2 </w:t>
      </w:r>
      <w:r w:rsidRPr="00A84E35">
        <w:rPr>
          <w:lang w:val="en-US"/>
        </w:rPr>
        <w:t>for velocities are quite flat and never exceed 35%, but for transverse momentum distributions, they reach 50% for the leading jet and the Higgs boson. This shows that the contribution of H+3-jets cannot be neglected in inclusive analyses sensitive to two jets. Another observable in which NLO corrections to H+3-jets play an important role is the pT distribution in the Hj</w:t>
      </w:r>
      <w:r w:rsidRPr="00A84E35">
        <w:rPr>
          <w:vertAlign w:val="subscript"/>
          <w:lang w:val="en-US"/>
        </w:rPr>
        <w:t>1</w:t>
      </w:r>
      <w:r w:rsidRPr="00A84E35">
        <w:rPr>
          <w:lang w:val="en-US"/>
        </w:rPr>
        <w:t>j</w:t>
      </w:r>
      <w:r w:rsidRPr="00A84E35">
        <w:rPr>
          <w:vertAlign w:val="subscript"/>
          <w:lang w:val="en-US"/>
        </w:rPr>
        <w:t>2</w:t>
      </w:r>
      <w:r w:rsidRPr="00A84E35">
        <w:rPr>
          <w:lang w:val="en-US"/>
        </w:rPr>
        <w:t xml:space="preserve"> system. In fact, for the first time, the distribution is described with NLO accuracy for </w:t>
      </w:r>
      <w:r w:rsidR="00502CD9">
        <w:rPr>
          <w:lang w:val="en-US"/>
        </w:rPr>
        <w:t xml:space="preserve"> </w:t>
      </w:r>
      <w:r w:rsidRPr="00A84E35">
        <w:rPr>
          <w:lang w:val="en-US"/>
        </w:rPr>
        <w:t xml:space="preserve">pT &gt; </w:t>
      </w:r>
      <w:r w:rsidRPr="00502CD9">
        <w:rPr>
          <w:lang w:val="en-US"/>
        </w:rPr>
        <w:t>2pT</w:t>
      </w:r>
      <w:r w:rsidRPr="00502CD9">
        <w:rPr>
          <w:vertAlign w:val="superscript"/>
          <w:lang w:val="en-US"/>
        </w:rPr>
        <w:t>min</w:t>
      </w:r>
      <w:r w:rsidR="00502CD9">
        <w:rPr>
          <w:lang w:val="en-US"/>
        </w:rPr>
        <w:t>(</w:t>
      </w:r>
      <w:r w:rsidRPr="00502CD9">
        <w:rPr>
          <w:lang w:val="en-US"/>
        </w:rPr>
        <w:t>jet</w:t>
      </w:r>
      <w:r w:rsidR="00502CD9">
        <w:rPr>
          <w:lang w:val="en-US"/>
        </w:rPr>
        <w:t>)</w:t>
      </w:r>
      <w:r w:rsidRPr="00A84E35">
        <w:rPr>
          <w:lang w:val="en-US"/>
        </w:rPr>
        <w:t xml:space="preserve"> = 60 GeV.</w:t>
      </w:r>
    </w:p>
    <w:p w14:paraId="2A5A18BF" w14:textId="1D4EE466" w:rsidR="00BD4F1D" w:rsidRDefault="00502CD9" w:rsidP="00BD4F1D">
      <w:pPr>
        <w:pStyle w:val="a8"/>
        <w:spacing w:after="0"/>
        <w:ind w:right="228" w:firstLine="284"/>
        <w:rPr>
          <w:lang w:val="ru-RU"/>
        </w:rPr>
      </w:pPr>
      <w:r w:rsidRPr="00502CD9">
        <w:rPr>
          <w:lang w:val="en-US"/>
        </w:rPr>
        <w:t xml:space="preserve">It would be interesting to study the impact of the NLO corrections presented here when typical VBF cuts are applied. Modern Monte Carlo tools also allow for investigating these corrections in a consistent NLO plus parton shower framework, combined with predictions of lower multiplicities. </w:t>
      </w:r>
      <w:r w:rsidRPr="00502CD9">
        <w:rPr>
          <w:lang w:val="ru-RU"/>
        </w:rPr>
        <w:t>We defer these investigations to a future publication.</w:t>
      </w:r>
    </w:p>
    <w:p w14:paraId="2B816FB8" w14:textId="490A4466" w:rsidR="008850D4" w:rsidRDefault="008850D4" w:rsidP="008B6353">
      <w:pPr>
        <w:pStyle w:val="a8"/>
        <w:spacing w:after="0"/>
        <w:ind w:right="228" w:firstLine="0"/>
        <w:rPr>
          <w:lang w:val="ru-RU"/>
        </w:rPr>
      </w:pPr>
      <w:r>
        <w:rPr>
          <w:lang w:val="ru-RU"/>
        </w:rPr>
        <w:t xml:space="preserve"> </w:t>
      </w:r>
    </w:p>
    <w:p w14:paraId="06767088" w14:textId="67E28870" w:rsidR="00BD4F1D" w:rsidRPr="00BD4F1D" w:rsidRDefault="00502CD9" w:rsidP="008B6353">
      <w:pPr>
        <w:spacing w:line="276" w:lineRule="auto"/>
        <w:ind w:firstLine="284"/>
        <w:rPr>
          <w:rFonts w:ascii="Times New Roman" w:hAnsi="Times New Roman"/>
          <w:b/>
          <w:bCs/>
          <w:sz w:val="28"/>
          <w:szCs w:val="28"/>
          <w:lang w:val="en-US"/>
        </w:rPr>
      </w:pPr>
      <w:r w:rsidRPr="00502CD9">
        <w:rPr>
          <w:rFonts w:ascii="Times New Roman" w:hAnsi="Times New Roman"/>
          <w:b/>
          <w:bCs/>
          <w:sz w:val="28"/>
          <w:szCs w:val="28"/>
        </w:rPr>
        <w:t>LITERATURE</w:t>
      </w:r>
      <w:r>
        <w:rPr>
          <w:rFonts w:ascii="Times New Roman" w:hAnsi="Times New Roman"/>
          <w:b/>
          <w:bCs/>
          <w:sz w:val="28"/>
          <w:szCs w:val="28"/>
          <w:lang w:val="en-US"/>
        </w:rPr>
        <w:t>S</w:t>
      </w:r>
      <w:r w:rsidR="00BD4F1D" w:rsidRPr="00522FEA">
        <w:rPr>
          <w:rFonts w:ascii="Times New Roman" w:hAnsi="Times New Roman"/>
          <w:b/>
          <w:bCs/>
          <w:sz w:val="28"/>
          <w:szCs w:val="28"/>
          <w:lang w:val="en-US"/>
        </w:rPr>
        <w:t xml:space="preserve"> </w:t>
      </w:r>
    </w:p>
    <w:p w14:paraId="638FC358" w14:textId="77777777" w:rsidR="00BD4F1D" w:rsidRDefault="00BD4F1D" w:rsidP="00BD4F1D">
      <w:pPr>
        <w:pStyle w:val="references"/>
      </w:pPr>
      <w:r w:rsidRPr="00522FEA">
        <w:t>G. Soyez</w:t>
      </w:r>
      <w:r>
        <w:t>, P</w:t>
      </w:r>
      <w:r w:rsidRPr="00522FEA">
        <w:t>hysics at TeV colliders: standard model working group report</w:t>
      </w:r>
      <w:r>
        <w:t xml:space="preserve">// </w:t>
      </w:r>
      <w:r w:rsidRPr="00522FEA">
        <w:t xml:space="preserve">High Energy Physics </w:t>
      </w:r>
      <w:r>
        <w:t>–</w:t>
      </w:r>
      <w:r w:rsidRPr="00522FEA">
        <w:t xml:space="preserve"> Phenomenology</w:t>
      </w:r>
      <w:r>
        <w:t>, - 2014, vol.1, pp.1405-1607</w:t>
      </w:r>
    </w:p>
    <w:p w14:paraId="1D45EF6C" w14:textId="77777777" w:rsidR="00BD4F1D" w:rsidRPr="00BD4F1D" w:rsidRDefault="00BD4F1D" w:rsidP="00BD4F1D">
      <w:pPr>
        <w:pStyle w:val="references"/>
        <w:rPr>
          <w:lang w:val="ru-RU"/>
        </w:rPr>
      </w:pPr>
      <w:r w:rsidRPr="00BD4F1D">
        <w:rPr>
          <w:lang w:val="ru-RU"/>
        </w:rPr>
        <w:t xml:space="preserve">Э.Э Дустмуродов, ОБРАЗОВАНИЕ ЧАСТИЦ ПРИ РЕЛЯТИВИСТСКОМ СТОЛКНОВЕНИИ ТЯЖЕЛЫХ ЯДЕР НА </w:t>
      </w:r>
      <w:r>
        <w:t>LHC</w:t>
      </w:r>
      <w:r w:rsidRPr="00BD4F1D">
        <w:rPr>
          <w:lang w:val="ru-RU"/>
        </w:rPr>
        <w:t xml:space="preserve"> (С ПОМОЩЬЮ </w:t>
      </w:r>
      <w:r>
        <w:t>GEANT</w:t>
      </w:r>
      <w:r w:rsidRPr="00BD4F1D">
        <w:rPr>
          <w:lang w:val="ru-RU"/>
        </w:rPr>
        <w:t xml:space="preserve">4), </w:t>
      </w:r>
      <w:r>
        <w:t>Science</w:t>
      </w:r>
      <w:r w:rsidRPr="00BD4F1D">
        <w:rPr>
          <w:lang w:val="ru-RU"/>
        </w:rPr>
        <w:t xml:space="preserve"> </w:t>
      </w:r>
      <w:r>
        <w:t>and</w:t>
      </w:r>
      <w:r w:rsidRPr="00BD4F1D">
        <w:rPr>
          <w:lang w:val="ru-RU"/>
        </w:rPr>
        <w:t xml:space="preserve"> </w:t>
      </w:r>
      <w:r>
        <w:t>Education</w:t>
      </w:r>
      <w:r w:rsidRPr="00BD4F1D">
        <w:rPr>
          <w:lang w:val="ru-RU"/>
        </w:rPr>
        <w:t xml:space="preserve">, </w:t>
      </w:r>
      <w:r>
        <w:t>toml</w:t>
      </w:r>
      <w:r w:rsidRPr="00BD4F1D">
        <w:rPr>
          <w:lang w:val="ru-RU"/>
        </w:rPr>
        <w:t xml:space="preserve"> (9) </w:t>
      </w:r>
      <w:r>
        <w:t>c</w:t>
      </w:r>
      <w:r w:rsidRPr="00BD4F1D">
        <w:rPr>
          <w:lang w:val="ru-RU"/>
        </w:rPr>
        <w:t>.59-65 (2020)</w:t>
      </w:r>
    </w:p>
    <w:p w14:paraId="1EFEBDA8" w14:textId="77777777" w:rsidR="00BD4F1D" w:rsidRPr="00BD4F1D" w:rsidRDefault="00BD4F1D" w:rsidP="00BD4F1D">
      <w:pPr>
        <w:pStyle w:val="references"/>
        <w:rPr>
          <w:lang w:val="ru-RU"/>
        </w:rPr>
      </w:pPr>
      <w:bookmarkStart w:id="0" w:name="bookmark5"/>
      <w:bookmarkEnd w:id="0"/>
      <w:r w:rsidRPr="00BD4F1D">
        <w:rPr>
          <w:lang w:val="ru-RU"/>
        </w:rPr>
        <w:t>Э.Э Дустмуродов, РОЖДЕНИЕ БЫСТРЫХ П0-МЕЗОНОВ В ЯДРО</w:t>
      </w:r>
      <w:r w:rsidRPr="00BD4F1D">
        <w:rPr>
          <w:lang w:val="ru-RU"/>
        </w:rPr>
        <w:softHyphen/>
        <w:t xml:space="preserve">ЯДЕРНЫХ ВЗАИМОДЕЙСТВИЯХ ПРИ 4, 5 А ГэВ/с С РАСЧЁТАМИ ПО МОДЕЛИ </w:t>
      </w:r>
      <w:r>
        <w:t>FRITIOF</w:t>
      </w:r>
      <w:r w:rsidRPr="00BD4F1D">
        <w:rPr>
          <w:lang w:val="ru-RU"/>
        </w:rPr>
        <w:t xml:space="preserve">, </w:t>
      </w:r>
      <w:r>
        <w:t>Science</w:t>
      </w:r>
      <w:r w:rsidRPr="00BD4F1D">
        <w:rPr>
          <w:lang w:val="ru-RU"/>
        </w:rPr>
        <w:t xml:space="preserve"> </w:t>
      </w:r>
      <w:r>
        <w:t>and</w:t>
      </w:r>
      <w:r w:rsidRPr="00BD4F1D">
        <w:rPr>
          <w:lang w:val="ru-RU"/>
        </w:rPr>
        <w:t xml:space="preserve"> </w:t>
      </w:r>
      <w:r>
        <w:t>Education</w:t>
      </w:r>
      <w:r w:rsidRPr="00BD4F1D">
        <w:rPr>
          <w:lang w:val="ru-RU"/>
        </w:rPr>
        <w:t xml:space="preserve">, </w:t>
      </w:r>
      <w:r>
        <w:t>toml</w:t>
      </w:r>
      <w:r w:rsidRPr="00BD4F1D">
        <w:rPr>
          <w:lang w:val="ru-RU"/>
        </w:rPr>
        <w:t xml:space="preserve"> (4) </w:t>
      </w:r>
      <w:r>
        <w:rPr>
          <w:smallCaps/>
        </w:rPr>
        <w:t>c</w:t>
      </w:r>
      <w:r w:rsidRPr="00BD4F1D">
        <w:rPr>
          <w:smallCaps/>
          <w:lang w:val="ru-RU"/>
        </w:rPr>
        <w:t>.11-15</w:t>
      </w:r>
      <w:r w:rsidRPr="00BD4F1D">
        <w:rPr>
          <w:lang w:val="ru-RU"/>
        </w:rPr>
        <w:t xml:space="preserve"> (2020)</w:t>
      </w:r>
    </w:p>
    <w:p w14:paraId="2DBE8B15" w14:textId="527E94E0" w:rsidR="00BD4F1D" w:rsidRDefault="00BD4F1D" w:rsidP="00BD4F1D">
      <w:pPr>
        <w:pStyle w:val="references"/>
        <w:rPr>
          <w:lang w:val="ru-RU"/>
        </w:rPr>
      </w:pPr>
      <w:bookmarkStart w:id="1" w:name="bookmark6"/>
      <w:bookmarkEnd w:id="1"/>
      <w:r w:rsidRPr="00BD4F1D">
        <w:rPr>
          <w:lang w:val="ru-RU"/>
        </w:rPr>
        <w:t xml:space="preserve">Б.С Юлдашев, Э.Э Дустмуродов, ПОНИМАНИЕ БОЗОНА ХИГГСА С ПОМОЩЬЮ </w:t>
      </w:r>
      <w:r>
        <w:t>LheC</w:t>
      </w:r>
      <w:r w:rsidRPr="00BD4F1D">
        <w:rPr>
          <w:lang w:val="ru-RU"/>
        </w:rPr>
        <w:t xml:space="preserve">, </w:t>
      </w:r>
      <w:r>
        <w:t>Science</w:t>
      </w:r>
      <w:r w:rsidRPr="00BD4F1D">
        <w:rPr>
          <w:lang w:val="ru-RU"/>
        </w:rPr>
        <w:t xml:space="preserve"> </w:t>
      </w:r>
      <w:r>
        <w:t>and</w:t>
      </w:r>
      <w:r w:rsidRPr="00BD4F1D">
        <w:rPr>
          <w:lang w:val="ru-RU"/>
        </w:rPr>
        <w:t xml:space="preserve"> </w:t>
      </w:r>
      <w:r>
        <w:t>Education</w:t>
      </w:r>
      <w:r w:rsidRPr="00BD4F1D">
        <w:rPr>
          <w:lang w:val="ru-RU"/>
        </w:rPr>
        <w:t xml:space="preserve">, </w:t>
      </w:r>
      <w:r>
        <w:t>toml</w:t>
      </w:r>
      <w:r w:rsidRPr="00BD4F1D">
        <w:rPr>
          <w:lang w:val="ru-RU"/>
        </w:rPr>
        <w:t xml:space="preserve"> (4) </w:t>
      </w:r>
      <w:r>
        <w:rPr>
          <w:smallCaps/>
        </w:rPr>
        <w:t>c</w:t>
      </w:r>
      <w:r w:rsidRPr="00BD4F1D">
        <w:rPr>
          <w:smallCaps/>
          <w:lang w:val="ru-RU"/>
        </w:rPr>
        <w:t>.16-21</w:t>
      </w:r>
      <w:r w:rsidRPr="00BD4F1D">
        <w:rPr>
          <w:lang w:val="ru-RU"/>
        </w:rPr>
        <w:t xml:space="preserve"> (2020)</w:t>
      </w:r>
    </w:p>
    <w:p w14:paraId="5D224192" w14:textId="5A030CBA" w:rsidR="008850D4" w:rsidRDefault="008850D4" w:rsidP="00BD4F1D">
      <w:pPr>
        <w:pStyle w:val="references"/>
        <w:rPr>
          <w:lang w:val="ru-RU"/>
        </w:rPr>
      </w:pPr>
      <w:r w:rsidRPr="008850D4">
        <w:rPr>
          <w:lang w:val="ru-RU"/>
        </w:rPr>
        <w:t>Дустмуродов Э. Э., Махмудова Д. Х., Юркевич Н. П. Образование частиц при релятивистском столкновении тяжелых ядер на LHC с помощью GEANT4. – 2023.</w:t>
      </w:r>
    </w:p>
    <w:p w14:paraId="420C17A8" w14:textId="7E230646" w:rsidR="008850D4" w:rsidRPr="00BD4F1D" w:rsidRDefault="008850D4" w:rsidP="00BD4F1D">
      <w:pPr>
        <w:pStyle w:val="references"/>
        <w:rPr>
          <w:lang w:val="ru-RU"/>
        </w:rPr>
      </w:pPr>
      <w:r w:rsidRPr="008850D4">
        <w:rPr>
          <w:lang w:val="ru-RU"/>
        </w:rPr>
        <w:t>Dustmurodov E., Yavkacheva Z., Maxmudova D. ИЗМЕРЕНИЕ СТАНДАРТНОЙ МОДЕЛИ НА ТЭВ-КОЛЛАЙДЕРАХ //Modern Science and Research. – 2024. – Т. 3. – №. 1. – С. 1-4.</w:t>
      </w:r>
    </w:p>
    <w:p w14:paraId="7E998CF5" w14:textId="5785DD1E" w:rsidR="00626F9C" w:rsidRPr="00626F9C" w:rsidRDefault="00626F9C" w:rsidP="00626F9C">
      <w:pPr>
        <w:pStyle w:val="references"/>
        <w:numPr>
          <w:ilvl w:val="0"/>
          <w:numId w:val="0"/>
        </w:numPr>
        <w:ind w:left="360" w:hanging="360"/>
        <w:rPr>
          <w:b/>
          <w:bCs/>
          <w:sz w:val="18"/>
          <w:szCs w:val="18"/>
          <w:lang w:val="ru-RU"/>
        </w:rPr>
      </w:pPr>
    </w:p>
    <w:sectPr w:rsidR="00626F9C" w:rsidRPr="00626F9C" w:rsidSect="00A87B49">
      <w:headerReference w:type="even" r:id="rId14"/>
      <w:headerReference w:type="default" r:id="rId15"/>
      <w:type w:val="continuous"/>
      <w:pgSz w:w="11907" w:h="16840" w:code="9"/>
      <w:pgMar w:top="1871" w:right="1474" w:bottom="2381" w:left="1474" w:header="794" w:footer="1417" w:gutter="0"/>
      <w:cols w:num="2" w:space="454"/>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F9C47" w14:textId="77777777" w:rsidR="00716C7F" w:rsidRDefault="00716C7F">
      <w:r>
        <w:separator/>
      </w:r>
    </w:p>
  </w:endnote>
  <w:endnote w:type="continuationSeparator" w:id="0">
    <w:p w14:paraId="1A573DAC" w14:textId="77777777" w:rsidR="00716C7F" w:rsidRDefault="00716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charset w:val="00"/>
    <w:family w:val="auto"/>
    <w:pitch w:val="variable"/>
    <w:sig w:usb0="E50002FF" w:usb1="500079DB" w:usb2="0000001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C0B46" w14:textId="77777777" w:rsidR="00716C7F" w:rsidRDefault="00716C7F">
      <w:r>
        <w:separator/>
      </w:r>
    </w:p>
  </w:footnote>
  <w:footnote w:type="continuationSeparator" w:id="0">
    <w:p w14:paraId="4270B244" w14:textId="77777777" w:rsidR="00716C7F" w:rsidRDefault="00716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20"/>
      <w:gridCol w:w="8239"/>
    </w:tblGrid>
    <w:tr w:rsidR="0052028B" w:rsidRPr="00935ABD" w14:paraId="1E7E7762" w14:textId="77777777">
      <w:tc>
        <w:tcPr>
          <w:tcW w:w="720" w:type="dxa"/>
        </w:tcPr>
        <w:p w14:paraId="02C3424D" w14:textId="77777777" w:rsidR="0052028B" w:rsidRDefault="0052028B">
          <w:pPr>
            <w:pStyle w:val="a3"/>
          </w:pPr>
          <w:r>
            <w:rPr>
              <w:i w:val="0"/>
            </w:rPr>
            <w:fldChar w:fldCharType="begin"/>
          </w:r>
          <w:r>
            <w:rPr>
              <w:i w:val="0"/>
            </w:rPr>
            <w:instrText xml:space="preserve"> page </w:instrText>
          </w:r>
          <w:r>
            <w:rPr>
              <w:i w:val="0"/>
            </w:rPr>
            <w:fldChar w:fldCharType="separate"/>
          </w:r>
          <w:r>
            <w:rPr>
              <w:i w:val="0"/>
            </w:rPr>
            <w:t>2</w:t>
          </w:r>
          <w:r>
            <w:rPr>
              <w:i w:val="0"/>
            </w:rPr>
            <w:fldChar w:fldCharType="end"/>
          </w:r>
        </w:p>
      </w:tc>
      <w:tc>
        <w:tcPr>
          <w:tcW w:w="8239" w:type="dxa"/>
        </w:tcPr>
        <w:p w14:paraId="17D34157" w14:textId="77777777" w:rsidR="0052028B" w:rsidRPr="00935ABD" w:rsidRDefault="0052028B">
          <w:pPr>
            <w:pStyle w:val="a3"/>
            <w:jc w:val="right"/>
            <w:rPr>
              <w:lang w:val="ru-RU"/>
            </w:rPr>
          </w:pPr>
          <w:r>
            <w:t>Chapter</w:t>
          </w:r>
          <w:r w:rsidRPr="00935ABD">
            <w:rPr>
              <w:lang w:val="ru-RU"/>
            </w:rPr>
            <w:t xml:space="preserve"> </w:t>
          </w:r>
          <w:r>
            <w:fldChar w:fldCharType="begin"/>
          </w:r>
          <w:r w:rsidRPr="00935ABD">
            <w:rPr>
              <w:lang w:val="ru-RU"/>
            </w:rPr>
            <w:instrText xml:space="preserve"> </w:instrText>
          </w:r>
          <w:r>
            <w:instrText>styleref</w:instrText>
          </w:r>
          <w:r w:rsidRPr="00935ABD">
            <w:rPr>
              <w:lang w:val="ru-RU"/>
            </w:rPr>
            <w:instrText xml:space="preserve"> “</w:instrText>
          </w:r>
          <w:r>
            <w:instrText>ChapterNo</w:instrText>
          </w:r>
          <w:r w:rsidRPr="00935ABD">
            <w:rPr>
              <w:lang w:val="ru-RU"/>
            </w:rPr>
            <w:instrText xml:space="preserve">” </w:instrText>
          </w:r>
          <w:r>
            <w:fldChar w:fldCharType="separate"/>
          </w:r>
          <w:r>
            <w:rPr>
              <w:b/>
              <w:bCs/>
              <w:lang w:val="ru-RU"/>
            </w:rPr>
            <w:t>Ошибка! Текст указанного стиля в документе отсутствует.</w:t>
          </w:r>
          <w:r>
            <w:fldChar w:fldCharType="end"/>
          </w:r>
        </w:p>
      </w:tc>
    </w:tr>
  </w:tbl>
  <w:p w14:paraId="74B6ADBC" w14:textId="77777777" w:rsidR="0052028B" w:rsidRPr="00935ABD" w:rsidRDefault="0052028B">
    <w:pPr>
      <w:pStyle w:val="a3"/>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8239"/>
      <w:gridCol w:w="720"/>
    </w:tblGrid>
    <w:tr w:rsidR="0052028B" w:rsidRPr="00935ABD" w14:paraId="671BA709" w14:textId="77777777">
      <w:tc>
        <w:tcPr>
          <w:tcW w:w="8239" w:type="dxa"/>
        </w:tcPr>
        <w:p w14:paraId="2853E1CD" w14:textId="77777777" w:rsidR="0052028B" w:rsidRPr="00935ABD" w:rsidRDefault="0052028B">
          <w:pPr>
            <w:pStyle w:val="a3"/>
            <w:rPr>
              <w:lang w:val="ru-RU"/>
            </w:rPr>
          </w:pPr>
          <w:r>
            <w:fldChar w:fldCharType="begin"/>
          </w:r>
          <w:r w:rsidRPr="00935ABD">
            <w:rPr>
              <w:lang w:val="ru-RU"/>
            </w:rPr>
            <w:instrText xml:space="preserve"> </w:instrText>
          </w:r>
          <w:r>
            <w:instrText>styleref</w:instrText>
          </w:r>
          <w:r w:rsidRPr="00935ABD">
            <w:rPr>
              <w:lang w:val="ru-RU"/>
            </w:rPr>
            <w:instrText xml:space="preserve"> “</w:instrText>
          </w:r>
          <w:r>
            <w:instrText>ChapterNo</w:instrText>
          </w:r>
          <w:r w:rsidRPr="00935ABD">
            <w:rPr>
              <w:lang w:val="ru-RU"/>
            </w:rPr>
            <w:instrText>”</w:instrText>
          </w:r>
          <w:r>
            <w:fldChar w:fldCharType="separate"/>
          </w:r>
          <w:r w:rsidR="00904E31">
            <w:rPr>
              <w:b/>
              <w:bCs/>
              <w:lang w:val="ru-RU"/>
            </w:rPr>
            <w:t>Ошибка! Используйте вкладку "Главная" для применения ChapterNo к тексту, который должен здесь отображаться.</w:t>
          </w:r>
          <w:r>
            <w:fldChar w:fldCharType="end"/>
          </w:r>
          <w:r w:rsidRPr="00935ABD">
            <w:rPr>
              <w:lang w:val="ru-RU"/>
            </w:rPr>
            <w:t xml:space="preserve">. </w:t>
          </w:r>
          <w:r>
            <w:fldChar w:fldCharType="begin"/>
          </w:r>
          <w:r w:rsidRPr="00935ABD">
            <w:rPr>
              <w:lang w:val="ru-RU"/>
            </w:rPr>
            <w:instrText xml:space="preserve"> </w:instrText>
          </w:r>
          <w:r>
            <w:instrText>styleref</w:instrText>
          </w:r>
          <w:r w:rsidRPr="00935ABD">
            <w:rPr>
              <w:lang w:val="ru-RU"/>
            </w:rPr>
            <w:instrText xml:space="preserve"> “</w:instrText>
          </w:r>
          <w:r>
            <w:instrText>Title</w:instrText>
          </w:r>
          <w:r w:rsidRPr="00935ABD">
            <w:rPr>
              <w:lang w:val="ru-RU"/>
            </w:rPr>
            <w:instrText>”</w:instrText>
          </w:r>
          <w:r>
            <w:fldChar w:fldCharType="separate"/>
          </w:r>
          <w:r w:rsidR="00904E31">
            <w:rPr>
              <w:b/>
              <w:bCs/>
              <w:lang w:val="ru-RU"/>
            </w:rPr>
            <w:t>Ошибка! Используйте вкладку "Главная" для применения Title к тексту, который должен здесь отображаться.</w:t>
          </w:r>
          <w:r>
            <w:fldChar w:fldCharType="end"/>
          </w:r>
        </w:p>
      </w:tc>
      <w:tc>
        <w:tcPr>
          <w:tcW w:w="720" w:type="dxa"/>
        </w:tcPr>
        <w:p w14:paraId="350A4C3E" w14:textId="77777777" w:rsidR="0052028B" w:rsidRDefault="0052028B">
          <w:pPr>
            <w:pStyle w:val="a3"/>
            <w:jc w:val="right"/>
            <w:rPr>
              <w:i w:val="0"/>
            </w:rPr>
          </w:pPr>
          <w:r>
            <w:rPr>
              <w:i w:val="0"/>
            </w:rPr>
            <w:fldChar w:fldCharType="begin"/>
          </w:r>
          <w:r>
            <w:rPr>
              <w:i w:val="0"/>
            </w:rPr>
            <w:instrText xml:space="preserve"> page </w:instrText>
          </w:r>
          <w:r>
            <w:rPr>
              <w:i w:val="0"/>
            </w:rPr>
            <w:fldChar w:fldCharType="separate"/>
          </w:r>
          <w:r w:rsidR="00904E31">
            <w:rPr>
              <w:i w:val="0"/>
            </w:rPr>
            <w:t>5</w:t>
          </w:r>
          <w:r>
            <w:rPr>
              <w:i w:val="0"/>
            </w:rPr>
            <w:fldChar w:fldCharType="end"/>
          </w:r>
        </w:p>
      </w:tc>
    </w:tr>
  </w:tbl>
  <w:p w14:paraId="2AE3ED2C" w14:textId="77777777" w:rsidR="0052028B" w:rsidRDefault="0052028B">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C0E2" w14:textId="77777777" w:rsidR="00A87B49" w:rsidRDefault="00A87B4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00B9" w14:textId="77777777" w:rsidR="00A87B49" w:rsidRDefault="00A87B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8CB4D6"/>
    <w:lvl w:ilvl="0">
      <w:start w:val="1"/>
      <w:numFmt w:val="decimal"/>
      <w:pStyle w:val="1"/>
      <w:lvlText w:val="%1."/>
      <w:lvlJc w:val="left"/>
      <w:pPr>
        <w:tabs>
          <w:tab w:val="num" w:pos="644"/>
        </w:tabs>
        <w:ind w:left="284" w:firstLine="0"/>
      </w:pPr>
      <w:rPr>
        <w:rFonts w:hint="default"/>
      </w:rPr>
    </w:lvl>
    <w:lvl w:ilvl="1">
      <w:start w:val="1"/>
      <w:numFmt w:val="decimal"/>
      <w:pStyle w:val="2"/>
      <w:lvlText w:val="%1.%2"/>
      <w:lvlJc w:val="left"/>
      <w:pPr>
        <w:tabs>
          <w:tab w:val="num" w:pos="814"/>
        </w:tabs>
        <w:ind w:left="454" w:firstLine="0"/>
      </w:pPr>
      <w:rPr>
        <w:rFonts w:hint="default"/>
      </w:rPr>
    </w:lvl>
    <w:lvl w:ilvl="2">
      <w:start w:val="1"/>
      <w:numFmt w:val="decimal"/>
      <w:pStyle w:val="3"/>
      <w:lvlText w:val="%1.%2.%3"/>
      <w:lvlJc w:val="left"/>
      <w:pPr>
        <w:tabs>
          <w:tab w:val="num" w:pos="0"/>
        </w:tabs>
        <w:ind w:left="900" w:hanging="567"/>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88B25E1"/>
    <w:multiLevelType w:val="hybridMultilevel"/>
    <w:tmpl w:val="AA7830E0"/>
    <w:lvl w:ilvl="0" w:tplc="04190011">
      <w:start w:val="1"/>
      <w:numFmt w:val="decimal"/>
      <w:lvlText w:val="%1)"/>
      <w:lvlJc w:val="left"/>
      <w:pPr>
        <w:tabs>
          <w:tab w:val="num" w:pos="1004"/>
        </w:tabs>
        <w:ind w:left="1004" w:hanging="360"/>
      </w:pPr>
      <w:rPr>
        <w:rFont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3" w15:restartNumberingAfterBreak="0">
    <w:nsid w:val="4CB61D8A"/>
    <w:multiLevelType w:val="hybridMultilevel"/>
    <w:tmpl w:val="F6A2653A"/>
    <w:lvl w:ilvl="0" w:tplc="B68EED66">
      <w:start w:val="1"/>
      <w:numFmt w:val="upperLetter"/>
      <w:lvlText w:val="%1)"/>
      <w:lvlJc w:val="left"/>
      <w:pPr>
        <w:tabs>
          <w:tab w:val="num" w:pos="1004"/>
        </w:tabs>
        <w:ind w:left="1004" w:hanging="360"/>
      </w:pPr>
      <w:rPr>
        <w:rFont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15:restartNumberingAfterBreak="0">
    <w:nsid w:val="54C133B3"/>
    <w:multiLevelType w:val="hybridMultilevel"/>
    <w:tmpl w:val="1DE40A34"/>
    <w:lvl w:ilvl="0" w:tplc="04190011">
      <w:start w:val="1"/>
      <w:numFmt w:val="decimal"/>
      <w:lvlText w:val="%1)"/>
      <w:lvlJc w:val="left"/>
      <w:pPr>
        <w:tabs>
          <w:tab w:val="num" w:pos="1004"/>
        </w:tabs>
        <w:ind w:left="1004" w:hanging="360"/>
      </w:pPr>
      <w:rPr>
        <w:rFont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578974DD"/>
    <w:multiLevelType w:val="hybridMultilevel"/>
    <w:tmpl w:val="0E202034"/>
    <w:lvl w:ilvl="0" w:tplc="E17611CA">
      <w:start w:val="1"/>
      <w:numFmt w:val="decimal"/>
      <w:lvlText w:val="%1."/>
      <w:lvlJc w:val="left"/>
      <w:pPr>
        <w:ind w:left="496" w:hanging="284"/>
      </w:pPr>
      <w:rPr>
        <w:rFonts w:ascii="Times New Roman" w:eastAsia="Times New Roman" w:hAnsi="Times New Roman" w:cs="Times New Roman" w:hint="default"/>
        <w:spacing w:val="0"/>
        <w:w w:val="99"/>
        <w:sz w:val="20"/>
        <w:szCs w:val="20"/>
        <w:lang w:val="en-US" w:eastAsia="en-US" w:bidi="ar-SA"/>
      </w:rPr>
    </w:lvl>
    <w:lvl w:ilvl="1" w:tplc="E68AFC06">
      <w:numFmt w:val="bullet"/>
      <w:lvlText w:val="•"/>
      <w:lvlJc w:val="left"/>
      <w:pPr>
        <w:ind w:left="934" w:hanging="284"/>
      </w:pPr>
      <w:rPr>
        <w:rFonts w:hint="default"/>
        <w:lang w:val="en-US" w:eastAsia="en-US" w:bidi="ar-SA"/>
      </w:rPr>
    </w:lvl>
    <w:lvl w:ilvl="2" w:tplc="02FE0594">
      <w:numFmt w:val="bullet"/>
      <w:lvlText w:val="•"/>
      <w:lvlJc w:val="left"/>
      <w:pPr>
        <w:ind w:left="1369" w:hanging="284"/>
      </w:pPr>
      <w:rPr>
        <w:rFonts w:hint="default"/>
        <w:lang w:val="en-US" w:eastAsia="en-US" w:bidi="ar-SA"/>
      </w:rPr>
    </w:lvl>
    <w:lvl w:ilvl="3" w:tplc="7EDAEF12">
      <w:numFmt w:val="bullet"/>
      <w:lvlText w:val="•"/>
      <w:lvlJc w:val="left"/>
      <w:pPr>
        <w:ind w:left="1804" w:hanging="284"/>
      </w:pPr>
      <w:rPr>
        <w:rFonts w:hint="default"/>
        <w:lang w:val="en-US" w:eastAsia="en-US" w:bidi="ar-SA"/>
      </w:rPr>
    </w:lvl>
    <w:lvl w:ilvl="4" w:tplc="07C8EBE8">
      <w:numFmt w:val="bullet"/>
      <w:lvlText w:val="•"/>
      <w:lvlJc w:val="left"/>
      <w:pPr>
        <w:ind w:left="2238" w:hanging="284"/>
      </w:pPr>
      <w:rPr>
        <w:rFonts w:hint="default"/>
        <w:lang w:val="en-US" w:eastAsia="en-US" w:bidi="ar-SA"/>
      </w:rPr>
    </w:lvl>
    <w:lvl w:ilvl="5" w:tplc="DA9C523C">
      <w:numFmt w:val="bullet"/>
      <w:lvlText w:val="•"/>
      <w:lvlJc w:val="left"/>
      <w:pPr>
        <w:ind w:left="2673" w:hanging="284"/>
      </w:pPr>
      <w:rPr>
        <w:rFonts w:hint="default"/>
        <w:lang w:val="en-US" w:eastAsia="en-US" w:bidi="ar-SA"/>
      </w:rPr>
    </w:lvl>
    <w:lvl w:ilvl="6" w:tplc="3424A5F2">
      <w:numFmt w:val="bullet"/>
      <w:lvlText w:val="•"/>
      <w:lvlJc w:val="left"/>
      <w:pPr>
        <w:ind w:left="3108" w:hanging="284"/>
      </w:pPr>
      <w:rPr>
        <w:rFonts w:hint="default"/>
        <w:lang w:val="en-US" w:eastAsia="en-US" w:bidi="ar-SA"/>
      </w:rPr>
    </w:lvl>
    <w:lvl w:ilvl="7" w:tplc="9D4866B8">
      <w:numFmt w:val="bullet"/>
      <w:lvlText w:val="•"/>
      <w:lvlJc w:val="left"/>
      <w:pPr>
        <w:ind w:left="3542" w:hanging="284"/>
      </w:pPr>
      <w:rPr>
        <w:rFonts w:hint="default"/>
        <w:lang w:val="en-US" w:eastAsia="en-US" w:bidi="ar-SA"/>
      </w:rPr>
    </w:lvl>
    <w:lvl w:ilvl="8" w:tplc="0D26AF36">
      <w:numFmt w:val="bullet"/>
      <w:lvlText w:val="•"/>
      <w:lvlJc w:val="left"/>
      <w:pPr>
        <w:ind w:left="3977" w:hanging="284"/>
      </w:pPr>
      <w:rPr>
        <w:rFonts w:hint="default"/>
        <w:lang w:val="en-US" w:eastAsia="en-US" w:bidi="ar-SA"/>
      </w:rPr>
    </w:lvl>
  </w:abstractNum>
  <w:abstractNum w:abstractNumId="7" w15:restartNumberingAfterBreak="0">
    <w:nsid w:val="5F39605C"/>
    <w:multiLevelType w:val="hybridMultilevel"/>
    <w:tmpl w:val="4D3C7282"/>
    <w:lvl w:ilvl="0" w:tplc="BC78DD16">
      <w:start w:val="1"/>
      <w:numFmt w:val="decimal"/>
      <w:lvlText w:val="%1."/>
      <w:lvlJc w:val="left"/>
      <w:pPr>
        <w:ind w:left="1039" w:hanging="360"/>
      </w:pPr>
      <w:rPr>
        <w:rFonts w:hint="default"/>
      </w:rPr>
    </w:lvl>
    <w:lvl w:ilvl="1" w:tplc="04190019" w:tentative="1">
      <w:start w:val="1"/>
      <w:numFmt w:val="lowerLetter"/>
      <w:lvlText w:val="%2."/>
      <w:lvlJc w:val="left"/>
      <w:pPr>
        <w:ind w:left="1759" w:hanging="360"/>
      </w:pPr>
    </w:lvl>
    <w:lvl w:ilvl="2" w:tplc="0419001B" w:tentative="1">
      <w:start w:val="1"/>
      <w:numFmt w:val="lowerRoman"/>
      <w:lvlText w:val="%3."/>
      <w:lvlJc w:val="right"/>
      <w:pPr>
        <w:ind w:left="2479" w:hanging="180"/>
      </w:pPr>
    </w:lvl>
    <w:lvl w:ilvl="3" w:tplc="0419000F" w:tentative="1">
      <w:start w:val="1"/>
      <w:numFmt w:val="decimal"/>
      <w:lvlText w:val="%4."/>
      <w:lvlJc w:val="left"/>
      <w:pPr>
        <w:ind w:left="3199" w:hanging="360"/>
      </w:pPr>
    </w:lvl>
    <w:lvl w:ilvl="4" w:tplc="04190019" w:tentative="1">
      <w:start w:val="1"/>
      <w:numFmt w:val="lowerLetter"/>
      <w:lvlText w:val="%5."/>
      <w:lvlJc w:val="left"/>
      <w:pPr>
        <w:ind w:left="3919" w:hanging="360"/>
      </w:pPr>
    </w:lvl>
    <w:lvl w:ilvl="5" w:tplc="0419001B" w:tentative="1">
      <w:start w:val="1"/>
      <w:numFmt w:val="lowerRoman"/>
      <w:lvlText w:val="%6."/>
      <w:lvlJc w:val="right"/>
      <w:pPr>
        <w:ind w:left="4639" w:hanging="180"/>
      </w:pPr>
    </w:lvl>
    <w:lvl w:ilvl="6" w:tplc="0419000F" w:tentative="1">
      <w:start w:val="1"/>
      <w:numFmt w:val="decimal"/>
      <w:lvlText w:val="%7."/>
      <w:lvlJc w:val="left"/>
      <w:pPr>
        <w:ind w:left="5359" w:hanging="360"/>
      </w:pPr>
    </w:lvl>
    <w:lvl w:ilvl="7" w:tplc="04190019" w:tentative="1">
      <w:start w:val="1"/>
      <w:numFmt w:val="lowerLetter"/>
      <w:lvlText w:val="%8."/>
      <w:lvlJc w:val="left"/>
      <w:pPr>
        <w:ind w:left="6079" w:hanging="360"/>
      </w:pPr>
    </w:lvl>
    <w:lvl w:ilvl="8" w:tplc="0419001B" w:tentative="1">
      <w:start w:val="1"/>
      <w:numFmt w:val="lowerRoman"/>
      <w:lvlText w:val="%9."/>
      <w:lvlJc w:val="right"/>
      <w:pPr>
        <w:ind w:left="6799" w:hanging="180"/>
      </w:p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ABD"/>
    <w:rsid w:val="00021200"/>
    <w:rsid w:val="00026B51"/>
    <w:rsid w:val="0003316D"/>
    <w:rsid w:val="00034353"/>
    <w:rsid w:val="00040DCE"/>
    <w:rsid w:val="00040E72"/>
    <w:rsid w:val="000652A5"/>
    <w:rsid w:val="00071D3A"/>
    <w:rsid w:val="00071F74"/>
    <w:rsid w:val="00075070"/>
    <w:rsid w:val="00075A44"/>
    <w:rsid w:val="000A0F7B"/>
    <w:rsid w:val="000A7E72"/>
    <w:rsid w:val="000B109F"/>
    <w:rsid w:val="000B3156"/>
    <w:rsid w:val="000D30BF"/>
    <w:rsid w:val="000E1D01"/>
    <w:rsid w:val="000F1A58"/>
    <w:rsid w:val="00104D7C"/>
    <w:rsid w:val="00134225"/>
    <w:rsid w:val="00142550"/>
    <w:rsid w:val="0014347A"/>
    <w:rsid w:val="001445B3"/>
    <w:rsid w:val="00152858"/>
    <w:rsid w:val="001763CF"/>
    <w:rsid w:val="00177942"/>
    <w:rsid w:val="00183C25"/>
    <w:rsid w:val="00193DDC"/>
    <w:rsid w:val="001952AE"/>
    <w:rsid w:val="001B56D8"/>
    <w:rsid w:val="001D0FD3"/>
    <w:rsid w:val="0020335E"/>
    <w:rsid w:val="00206398"/>
    <w:rsid w:val="00220458"/>
    <w:rsid w:val="002326D1"/>
    <w:rsid w:val="002445B3"/>
    <w:rsid w:val="00254499"/>
    <w:rsid w:val="00277D33"/>
    <w:rsid w:val="00280FEB"/>
    <w:rsid w:val="00293583"/>
    <w:rsid w:val="002A4EB7"/>
    <w:rsid w:val="002A5233"/>
    <w:rsid w:val="002F6E02"/>
    <w:rsid w:val="00310A74"/>
    <w:rsid w:val="0031619B"/>
    <w:rsid w:val="00335887"/>
    <w:rsid w:val="003379E4"/>
    <w:rsid w:val="00351654"/>
    <w:rsid w:val="00363291"/>
    <w:rsid w:val="0036515C"/>
    <w:rsid w:val="00397F59"/>
    <w:rsid w:val="003B559D"/>
    <w:rsid w:val="003D3F57"/>
    <w:rsid w:val="003F203A"/>
    <w:rsid w:val="00403402"/>
    <w:rsid w:val="004048C8"/>
    <w:rsid w:val="00404E9A"/>
    <w:rsid w:val="00423CEB"/>
    <w:rsid w:val="0042713F"/>
    <w:rsid w:val="00435B44"/>
    <w:rsid w:val="0044470B"/>
    <w:rsid w:val="00477EB4"/>
    <w:rsid w:val="00486A98"/>
    <w:rsid w:val="00491C2B"/>
    <w:rsid w:val="004A54D3"/>
    <w:rsid w:val="004C3DFB"/>
    <w:rsid w:val="004D58E1"/>
    <w:rsid w:val="004D6443"/>
    <w:rsid w:val="004E7621"/>
    <w:rsid w:val="004F2FF3"/>
    <w:rsid w:val="00502CD9"/>
    <w:rsid w:val="0052028B"/>
    <w:rsid w:val="005228AB"/>
    <w:rsid w:val="0053383B"/>
    <w:rsid w:val="00561BBA"/>
    <w:rsid w:val="00570EA4"/>
    <w:rsid w:val="0057403C"/>
    <w:rsid w:val="0057491A"/>
    <w:rsid w:val="005863DA"/>
    <w:rsid w:val="005A18F4"/>
    <w:rsid w:val="005A2BD0"/>
    <w:rsid w:val="005A3D1E"/>
    <w:rsid w:val="005A41AA"/>
    <w:rsid w:val="005A660D"/>
    <w:rsid w:val="005A7B9B"/>
    <w:rsid w:val="005D4888"/>
    <w:rsid w:val="005D4955"/>
    <w:rsid w:val="005E3EBF"/>
    <w:rsid w:val="005E55D5"/>
    <w:rsid w:val="00602254"/>
    <w:rsid w:val="00604063"/>
    <w:rsid w:val="0060599F"/>
    <w:rsid w:val="00626F9C"/>
    <w:rsid w:val="006608A2"/>
    <w:rsid w:val="00661D4F"/>
    <w:rsid w:val="00664FBD"/>
    <w:rsid w:val="006A29BD"/>
    <w:rsid w:val="006C173C"/>
    <w:rsid w:val="006D2950"/>
    <w:rsid w:val="006E636F"/>
    <w:rsid w:val="006F3859"/>
    <w:rsid w:val="007072DA"/>
    <w:rsid w:val="00710731"/>
    <w:rsid w:val="00711504"/>
    <w:rsid w:val="00712D3C"/>
    <w:rsid w:val="0071341E"/>
    <w:rsid w:val="00716C7F"/>
    <w:rsid w:val="0072204C"/>
    <w:rsid w:val="0072638A"/>
    <w:rsid w:val="0073111C"/>
    <w:rsid w:val="00736555"/>
    <w:rsid w:val="007626F0"/>
    <w:rsid w:val="0076589C"/>
    <w:rsid w:val="00784AE5"/>
    <w:rsid w:val="00792991"/>
    <w:rsid w:val="007B4F14"/>
    <w:rsid w:val="007B72AB"/>
    <w:rsid w:val="007B7B45"/>
    <w:rsid w:val="007C1813"/>
    <w:rsid w:val="007E4164"/>
    <w:rsid w:val="007F467B"/>
    <w:rsid w:val="008372F8"/>
    <w:rsid w:val="008712EF"/>
    <w:rsid w:val="008766C6"/>
    <w:rsid w:val="008850D4"/>
    <w:rsid w:val="008A370A"/>
    <w:rsid w:val="008B06C5"/>
    <w:rsid w:val="008B3A77"/>
    <w:rsid w:val="008B6353"/>
    <w:rsid w:val="00904E31"/>
    <w:rsid w:val="0092769A"/>
    <w:rsid w:val="00935ABD"/>
    <w:rsid w:val="00941311"/>
    <w:rsid w:val="00947665"/>
    <w:rsid w:val="009504AA"/>
    <w:rsid w:val="009565AE"/>
    <w:rsid w:val="00971E35"/>
    <w:rsid w:val="00981B7C"/>
    <w:rsid w:val="009846A5"/>
    <w:rsid w:val="00997500"/>
    <w:rsid w:val="009C25E9"/>
    <w:rsid w:val="009C69BB"/>
    <w:rsid w:val="009D58DE"/>
    <w:rsid w:val="009E39E1"/>
    <w:rsid w:val="009F7A19"/>
    <w:rsid w:val="00A10DB7"/>
    <w:rsid w:val="00A11A7F"/>
    <w:rsid w:val="00A1711A"/>
    <w:rsid w:val="00A232DE"/>
    <w:rsid w:val="00A356AB"/>
    <w:rsid w:val="00A35A16"/>
    <w:rsid w:val="00A55F59"/>
    <w:rsid w:val="00A84E35"/>
    <w:rsid w:val="00A85BC5"/>
    <w:rsid w:val="00A87B49"/>
    <w:rsid w:val="00AB160F"/>
    <w:rsid w:val="00AB45E2"/>
    <w:rsid w:val="00AC6F12"/>
    <w:rsid w:val="00AD1584"/>
    <w:rsid w:val="00AE1E9C"/>
    <w:rsid w:val="00AF09F9"/>
    <w:rsid w:val="00AF19F6"/>
    <w:rsid w:val="00AF76DC"/>
    <w:rsid w:val="00B13732"/>
    <w:rsid w:val="00B204D0"/>
    <w:rsid w:val="00B54843"/>
    <w:rsid w:val="00B60867"/>
    <w:rsid w:val="00B745F9"/>
    <w:rsid w:val="00BA4E26"/>
    <w:rsid w:val="00BC237B"/>
    <w:rsid w:val="00BD001B"/>
    <w:rsid w:val="00BD4F1D"/>
    <w:rsid w:val="00BF5F7B"/>
    <w:rsid w:val="00C55191"/>
    <w:rsid w:val="00C5537D"/>
    <w:rsid w:val="00C6164A"/>
    <w:rsid w:val="00C73A81"/>
    <w:rsid w:val="00CA2DFC"/>
    <w:rsid w:val="00CC39BA"/>
    <w:rsid w:val="00D43A28"/>
    <w:rsid w:val="00D4681D"/>
    <w:rsid w:val="00D5762E"/>
    <w:rsid w:val="00D67D9C"/>
    <w:rsid w:val="00D90068"/>
    <w:rsid w:val="00D90176"/>
    <w:rsid w:val="00DC1FF9"/>
    <w:rsid w:val="00DC57D5"/>
    <w:rsid w:val="00DF7A23"/>
    <w:rsid w:val="00E13921"/>
    <w:rsid w:val="00E30C15"/>
    <w:rsid w:val="00E3222C"/>
    <w:rsid w:val="00E329BD"/>
    <w:rsid w:val="00E46A9E"/>
    <w:rsid w:val="00E717F8"/>
    <w:rsid w:val="00E811CA"/>
    <w:rsid w:val="00E86524"/>
    <w:rsid w:val="00EC445C"/>
    <w:rsid w:val="00ED3FA8"/>
    <w:rsid w:val="00ED65D2"/>
    <w:rsid w:val="00EF77F1"/>
    <w:rsid w:val="00F078BF"/>
    <w:rsid w:val="00F22D4D"/>
    <w:rsid w:val="00F65A2D"/>
    <w:rsid w:val="00F73971"/>
    <w:rsid w:val="00F76F18"/>
    <w:rsid w:val="00F96157"/>
    <w:rsid w:val="00F96A4B"/>
    <w:rsid w:val="00FA4DC5"/>
    <w:rsid w:val="00FD5E42"/>
    <w:rsid w:val="00FF1B27"/>
    <w:rsid w:val="00FF7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EB49"/>
  <w15:chartTrackingRefBased/>
  <w15:docId w15:val="{54ED7DA6-595B-4D6B-9606-2B257093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paragraph" w:styleId="1">
    <w:name w:val="heading 1"/>
    <w:basedOn w:val="a"/>
    <w:next w:val="a"/>
    <w:link w:val="10"/>
    <w:qFormat/>
    <w:rsid w:val="00935ABD"/>
    <w:pPr>
      <w:keepNext/>
      <w:keepLines/>
      <w:numPr>
        <w:numId w:val="1"/>
      </w:numPr>
      <w:tabs>
        <w:tab w:val="left" w:pos="426"/>
      </w:tabs>
      <w:spacing w:before="520" w:after="260" w:line="300" w:lineRule="exact"/>
      <w:ind w:left="0"/>
      <w:outlineLvl w:val="0"/>
    </w:pPr>
    <w:rPr>
      <w:rFonts w:ascii="Times New Roman" w:eastAsia="Times New Roman" w:hAnsi="Times New Roman"/>
      <w:b/>
      <w:caps/>
      <w:kern w:val="22"/>
      <w:sz w:val="26"/>
      <w:szCs w:val="20"/>
      <w:lang w:val="en-GB"/>
    </w:rPr>
  </w:style>
  <w:style w:type="paragraph" w:styleId="2">
    <w:name w:val="heading 2"/>
    <w:basedOn w:val="a"/>
    <w:next w:val="a"/>
    <w:link w:val="20"/>
    <w:qFormat/>
    <w:rsid w:val="00935ABD"/>
    <w:pPr>
      <w:keepNext/>
      <w:keepLines/>
      <w:numPr>
        <w:ilvl w:val="1"/>
        <w:numId w:val="1"/>
      </w:numPr>
      <w:tabs>
        <w:tab w:val="clear" w:pos="814"/>
        <w:tab w:val="num" w:pos="567"/>
      </w:tabs>
      <w:spacing w:before="260" w:after="260" w:line="300" w:lineRule="exact"/>
      <w:ind w:left="0"/>
      <w:outlineLvl w:val="1"/>
    </w:pPr>
    <w:rPr>
      <w:rFonts w:ascii="Times New Roman" w:eastAsia="Times New Roman" w:hAnsi="Times New Roman"/>
      <w:b/>
      <w:sz w:val="26"/>
      <w:szCs w:val="20"/>
      <w:lang w:val="en-GB"/>
    </w:rPr>
  </w:style>
  <w:style w:type="paragraph" w:styleId="3">
    <w:name w:val="heading 3"/>
    <w:basedOn w:val="a"/>
    <w:next w:val="a"/>
    <w:link w:val="30"/>
    <w:qFormat/>
    <w:rsid w:val="00935ABD"/>
    <w:pPr>
      <w:keepNext/>
      <w:keepLines/>
      <w:numPr>
        <w:ilvl w:val="2"/>
        <w:numId w:val="1"/>
      </w:numPr>
      <w:spacing w:before="260" w:after="260" w:line="220" w:lineRule="exact"/>
      <w:outlineLvl w:val="2"/>
    </w:pPr>
    <w:rPr>
      <w:rFonts w:ascii="Times New Roman" w:eastAsia="Times New Roman" w:hAnsi="Times New Roman"/>
      <w:b/>
      <w:kern w:val="22"/>
      <w:sz w:val="20"/>
      <w:szCs w:val="20"/>
      <w:lang w:val="en-GB"/>
    </w:rPr>
  </w:style>
  <w:style w:type="paragraph" w:styleId="4">
    <w:name w:val="heading 4"/>
    <w:basedOn w:val="a"/>
    <w:next w:val="a"/>
    <w:link w:val="40"/>
    <w:qFormat/>
    <w:rsid w:val="00935ABD"/>
    <w:pPr>
      <w:keepNext/>
      <w:keepLines/>
      <w:numPr>
        <w:ilvl w:val="3"/>
        <w:numId w:val="1"/>
      </w:numPr>
      <w:spacing w:before="260" w:line="220" w:lineRule="exact"/>
      <w:outlineLvl w:val="3"/>
    </w:pPr>
    <w:rPr>
      <w:rFonts w:ascii="Times New Roman" w:eastAsia="Times New Roman" w:hAnsi="Times New Roman"/>
      <w:b/>
      <w:kern w:val="20"/>
      <w:sz w:val="20"/>
      <w:szCs w:val="20"/>
      <w:lang w:val="en-GB"/>
    </w:rPr>
  </w:style>
  <w:style w:type="paragraph" w:styleId="5">
    <w:name w:val="heading 5"/>
    <w:basedOn w:val="4"/>
    <w:next w:val="a"/>
    <w:link w:val="50"/>
    <w:qFormat/>
    <w:rsid w:val="00935ABD"/>
    <w:pPr>
      <w:numPr>
        <w:ilvl w:val="4"/>
      </w:numPr>
      <w:outlineLvl w:val="4"/>
    </w:pPr>
  </w:style>
  <w:style w:type="paragraph" w:styleId="6">
    <w:name w:val="heading 6"/>
    <w:basedOn w:val="4"/>
    <w:next w:val="a"/>
    <w:link w:val="60"/>
    <w:qFormat/>
    <w:rsid w:val="00935ABD"/>
    <w:pPr>
      <w:numPr>
        <w:ilvl w:val="5"/>
      </w:numPr>
      <w:outlineLvl w:val="5"/>
    </w:pPr>
  </w:style>
  <w:style w:type="paragraph" w:styleId="7">
    <w:name w:val="heading 7"/>
    <w:basedOn w:val="4"/>
    <w:next w:val="a"/>
    <w:link w:val="70"/>
    <w:qFormat/>
    <w:rsid w:val="00935ABD"/>
    <w:pPr>
      <w:numPr>
        <w:ilvl w:val="6"/>
      </w:numPr>
      <w:outlineLvl w:val="6"/>
    </w:pPr>
  </w:style>
  <w:style w:type="paragraph" w:styleId="8">
    <w:name w:val="heading 8"/>
    <w:basedOn w:val="4"/>
    <w:next w:val="a"/>
    <w:link w:val="80"/>
    <w:qFormat/>
    <w:rsid w:val="00935ABD"/>
    <w:pPr>
      <w:numPr>
        <w:ilvl w:val="7"/>
      </w:numPr>
      <w:outlineLvl w:val="7"/>
    </w:pPr>
  </w:style>
  <w:style w:type="paragraph" w:styleId="9">
    <w:name w:val="heading 9"/>
    <w:basedOn w:val="4"/>
    <w:next w:val="a"/>
    <w:link w:val="90"/>
    <w:qFormat/>
    <w:rsid w:val="00935ABD"/>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5ABD"/>
    <w:rPr>
      <w:rFonts w:ascii="Times New Roman" w:eastAsia="Times New Roman" w:hAnsi="Times New Roman" w:cs="Times New Roman"/>
      <w:b/>
      <w:caps/>
      <w:kern w:val="22"/>
      <w:sz w:val="26"/>
      <w:szCs w:val="20"/>
      <w:lang w:val="en-GB"/>
    </w:rPr>
  </w:style>
  <w:style w:type="character" w:customStyle="1" w:styleId="20">
    <w:name w:val="Заголовок 2 Знак"/>
    <w:link w:val="2"/>
    <w:rsid w:val="00935ABD"/>
    <w:rPr>
      <w:rFonts w:ascii="Times New Roman" w:eastAsia="Times New Roman" w:hAnsi="Times New Roman" w:cs="Times New Roman"/>
      <w:b/>
      <w:sz w:val="26"/>
      <w:szCs w:val="20"/>
      <w:lang w:val="en-GB"/>
    </w:rPr>
  </w:style>
  <w:style w:type="character" w:customStyle="1" w:styleId="30">
    <w:name w:val="Заголовок 3 Знак"/>
    <w:link w:val="3"/>
    <w:rsid w:val="00935ABD"/>
    <w:rPr>
      <w:rFonts w:ascii="Times New Roman" w:eastAsia="Times New Roman" w:hAnsi="Times New Roman" w:cs="Times New Roman"/>
      <w:b/>
      <w:kern w:val="22"/>
      <w:sz w:val="20"/>
      <w:szCs w:val="20"/>
      <w:lang w:val="en-GB"/>
    </w:rPr>
  </w:style>
  <w:style w:type="character" w:customStyle="1" w:styleId="40">
    <w:name w:val="Заголовок 4 Знак"/>
    <w:link w:val="4"/>
    <w:rsid w:val="00935ABD"/>
    <w:rPr>
      <w:rFonts w:ascii="Times New Roman" w:eastAsia="Times New Roman" w:hAnsi="Times New Roman" w:cs="Times New Roman"/>
      <w:b/>
      <w:kern w:val="20"/>
      <w:sz w:val="20"/>
      <w:szCs w:val="20"/>
      <w:lang w:val="en-GB"/>
    </w:rPr>
  </w:style>
  <w:style w:type="character" w:customStyle="1" w:styleId="50">
    <w:name w:val="Заголовок 5 Знак"/>
    <w:link w:val="5"/>
    <w:rsid w:val="00935ABD"/>
    <w:rPr>
      <w:rFonts w:ascii="Times New Roman" w:eastAsia="Times New Roman" w:hAnsi="Times New Roman" w:cs="Times New Roman"/>
      <w:b/>
      <w:kern w:val="20"/>
      <w:sz w:val="20"/>
      <w:szCs w:val="20"/>
      <w:lang w:val="en-GB"/>
    </w:rPr>
  </w:style>
  <w:style w:type="character" w:customStyle="1" w:styleId="60">
    <w:name w:val="Заголовок 6 Знак"/>
    <w:link w:val="6"/>
    <w:rsid w:val="00935ABD"/>
    <w:rPr>
      <w:rFonts w:ascii="Times New Roman" w:eastAsia="Times New Roman" w:hAnsi="Times New Roman" w:cs="Times New Roman"/>
      <w:b/>
      <w:kern w:val="20"/>
      <w:sz w:val="20"/>
      <w:szCs w:val="20"/>
      <w:lang w:val="en-GB"/>
    </w:rPr>
  </w:style>
  <w:style w:type="character" w:customStyle="1" w:styleId="70">
    <w:name w:val="Заголовок 7 Знак"/>
    <w:link w:val="7"/>
    <w:rsid w:val="00935ABD"/>
    <w:rPr>
      <w:rFonts w:ascii="Times New Roman" w:eastAsia="Times New Roman" w:hAnsi="Times New Roman" w:cs="Times New Roman"/>
      <w:b/>
      <w:kern w:val="20"/>
      <w:sz w:val="20"/>
      <w:szCs w:val="20"/>
      <w:lang w:val="en-GB"/>
    </w:rPr>
  </w:style>
  <w:style w:type="character" w:customStyle="1" w:styleId="80">
    <w:name w:val="Заголовок 8 Знак"/>
    <w:link w:val="8"/>
    <w:rsid w:val="00935ABD"/>
    <w:rPr>
      <w:rFonts w:ascii="Times New Roman" w:eastAsia="Times New Roman" w:hAnsi="Times New Roman" w:cs="Times New Roman"/>
      <w:b/>
      <w:kern w:val="20"/>
      <w:sz w:val="20"/>
      <w:szCs w:val="20"/>
      <w:lang w:val="en-GB"/>
    </w:rPr>
  </w:style>
  <w:style w:type="character" w:customStyle="1" w:styleId="90">
    <w:name w:val="Заголовок 9 Знак"/>
    <w:link w:val="9"/>
    <w:rsid w:val="00935ABD"/>
    <w:rPr>
      <w:rFonts w:ascii="Times New Roman" w:eastAsia="Times New Roman" w:hAnsi="Times New Roman" w:cs="Times New Roman"/>
      <w:b/>
      <w:kern w:val="20"/>
      <w:sz w:val="20"/>
      <w:szCs w:val="20"/>
      <w:lang w:val="en-GB"/>
    </w:rPr>
  </w:style>
  <w:style w:type="paragraph" w:customStyle="1" w:styleId="Author">
    <w:name w:val="Author"/>
    <w:rsid w:val="00935ABD"/>
    <w:pPr>
      <w:spacing w:before="480" w:line="260" w:lineRule="exact"/>
    </w:pPr>
    <w:rPr>
      <w:rFonts w:ascii="Times New Roman" w:eastAsia="Times New Roman" w:hAnsi="Times New Roman"/>
      <w:noProof/>
      <w:sz w:val="22"/>
      <w:lang w:val="en-GB" w:eastAsia="en-US"/>
    </w:rPr>
  </w:style>
  <w:style w:type="paragraph" w:styleId="a3">
    <w:name w:val="header"/>
    <w:basedOn w:val="a"/>
    <w:link w:val="a4"/>
    <w:rsid w:val="00935ABD"/>
    <w:pPr>
      <w:spacing w:line="220" w:lineRule="exact"/>
    </w:pPr>
    <w:rPr>
      <w:rFonts w:ascii="Times New Roman" w:eastAsia="Times New Roman" w:hAnsi="Times New Roman"/>
      <w:i/>
      <w:noProof/>
      <w:sz w:val="20"/>
      <w:szCs w:val="20"/>
      <w:lang w:val="en-GB"/>
    </w:rPr>
  </w:style>
  <w:style w:type="character" w:customStyle="1" w:styleId="a4">
    <w:name w:val="Верхний колонтитул Знак"/>
    <w:link w:val="a3"/>
    <w:rsid w:val="00935ABD"/>
    <w:rPr>
      <w:rFonts w:ascii="Times New Roman" w:eastAsia="Times New Roman" w:hAnsi="Times New Roman" w:cs="Times New Roman"/>
      <w:i/>
      <w:noProof/>
      <w:sz w:val="20"/>
      <w:szCs w:val="20"/>
      <w:lang w:val="en-GB"/>
    </w:rPr>
  </w:style>
  <w:style w:type="character" w:styleId="a5">
    <w:name w:val="Hyperlink"/>
    <w:aliases w:val="Hypertext link"/>
    <w:rsid w:val="00935ABD"/>
    <w:rPr>
      <w:color w:val="0000FF"/>
      <w:u w:val="single"/>
    </w:rPr>
  </w:style>
  <w:style w:type="paragraph" w:customStyle="1" w:styleId="Affiliation">
    <w:name w:val="Affiliation"/>
    <w:next w:val="Abstract"/>
    <w:rsid w:val="00935ABD"/>
    <w:pPr>
      <w:spacing w:after="520" w:line="220" w:lineRule="exact"/>
    </w:pPr>
    <w:rPr>
      <w:rFonts w:ascii="Times New Roman" w:eastAsia="Times New Roman" w:hAnsi="Times New Roman"/>
      <w:i/>
      <w:noProof/>
      <w:sz w:val="18"/>
      <w:lang w:val="en-GB" w:eastAsia="en-US"/>
    </w:rPr>
  </w:style>
  <w:style w:type="paragraph" w:customStyle="1" w:styleId="Abstract">
    <w:name w:val="Abstract"/>
    <w:basedOn w:val="a"/>
    <w:rsid w:val="00935ABD"/>
    <w:pPr>
      <w:spacing w:after="260" w:line="220" w:lineRule="exact"/>
      <w:ind w:left="1100" w:hanging="1100"/>
    </w:pPr>
    <w:rPr>
      <w:rFonts w:ascii="Times New Roman" w:eastAsia="Times New Roman" w:hAnsi="Times New Roman"/>
      <w:sz w:val="18"/>
      <w:szCs w:val="20"/>
      <w:lang w:val="en-GB"/>
    </w:rPr>
  </w:style>
  <w:style w:type="paragraph" w:styleId="a6">
    <w:name w:val="Title"/>
    <w:basedOn w:val="a"/>
    <w:next w:val="a"/>
    <w:link w:val="a7"/>
    <w:qFormat/>
    <w:rsid w:val="00935ABD"/>
    <w:pPr>
      <w:spacing w:line="340" w:lineRule="exact"/>
      <w:jc w:val="center"/>
    </w:pPr>
    <w:rPr>
      <w:rFonts w:ascii="Times New Roman" w:eastAsia="Times New Roman" w:hAnsi="Times New Roman"/>
      <w:b/>
      <w:caps/>
      <w:noProof/>
      <w:sz w:val="30"/>
      <w:szCs w:val="20"/>
      <w:lang w:val="en-GB"/>
    </w:rPr>
  </w:style>
  <w:style w:type="character" w:customStyle="1" w:styleId="a7">
    <w:name w:val="Заголовок Знак"/>
    <w:link w:val="a6"/>
    <w:rsid w:val="00935ABD"/>
    <w:rPr>
      <w:rFonts w:ascii="Times New Roman" w:eastAsia="Times New Roman" w:hAnsi="Times New Roman" w:cs="Times New Roman"/>
      <w:b/>
      <w:caps/>
      <w:noProof/>
      <w:sz w:val="30"/>
      <w:szCs w:val="20"/>
      <w:lang w:val="en-GB"/>
    </w:rPr>
  </w:style>
  <w:style w:type="paragraph" w:customStyle="1" w:styleId="references">
    <w:name w:val="references"/>
    <w:uiPriority w:val="99"/>
    <w:rsid w:val="00935ABD"/>
    <w:pPr>
      <w:numPr>
        <w:numId w:val="3"/>
      </w:numPr>
      <w:spacing w:after="50" w:line="180" w:lineRule="exact"/>
      <w:jc w:val="both"/>
    </w:pPr>
    <w:rPr>
      <w:rFonts w:ascii="Times New Roman" w:eastAsia="MS Mincho" w:hAnsi="Times New Roman"/>
      <w:noProof/>
      <w:sz w:val="16"/>
      <w:szCs w:val="16"/>
      <w:lang w:val="en-US" w:eastAsia="en-US"/>
    </w:rPr>
  </w:style>
  <w:style w:type="paragraph" w:customStyle="1" w:styleId="p1">
    <w:name w:val="p1"/>
    <w:basedOn w:val="a"/>
    <w:rsid w:val="00935ABD"/>
    <w:pPr>
      <w:ind w:left="264"/>
    </w:pPr>
    <w:rPr>
      <w:rFonts w:ascii="Helvetica Neue" w:eastAsia="Times New Roman" w:hAnsi="Helvetica Neue"/>
      <w:sz w:val="20"/>
      <w:szCs w:val="20"/>
      <w:lang w:eastAsia="ru-RU"/>
    </w:rPr>
  </w:style>
  <w:style w:type="paragraph" w:styleId="a8">
    <w:name w:val="Body Text"/>
    <w:basedOn w:val="a"/>
    <w:link w:val="a9"/>
    <w:rsid w:val="00935ABD"/>
    <w:pPr>
      <w:spacing w:after="120" w:line="220" w:lineRule="exact"/>
      <w:ind w:firstLine="301"/>
      <w:jc w:val="both"/>
    </w:pPr>
    <w:rPr>
      <w:rFonts w:ascii="Times New Roman" w:eastAsia="Times New Roman" w:hAnsi="Times New Roman"/>
      <w:sz w:val="20"/>
      <w:szCs w:val="20"/>
      <w:lang w:val="en-GB"/>
    </w:rPr>
  </w:style>
  <w:style w:type="character" w:customStyle="1" w:styleId="a9">
    <w:name w:val="Основной текст Знак"/>
    <w:link w:val="a8"/>
    <w:rsid w:val="00935ABD"/>
    <w:rPr>
      <w:rFonts w:ascii="Times New Roman" w:eastAsia="Times New Roman" w:hAnsi="Times New Roman" w:cs="Times New Roman"/>
      <w:sz w:val="20"/>
      <w:szCs w:val="20"/>
      <w:lang w:val="en-GB"/>
    </w:rPr>
  </w:style>
  <w:style w:type="paragraph" w:customStyle="1" w:styleId="equation">
    <w:name w:val="equation"/>
    <w:basedOn w:val="a"/>
    <w:uiPriority w:val="99"/>
    <w:rsid w:val="00935ABD"/>
    <w:pPr>
      <w:tabs>
        <w:tab w:val="center" w:pos="2520"/>
        <w:tab w:val="right" w:pos="5040"/>
      </w:tabs>
      <w:spacing w:before="240" w:after="240" w:line="216" w:lineRule="auto"/>
      <w:jc w:val="center"/>
    </w:pPr>
    <w:rPr>
      <w:rFonts w:ascii="Symbol" w:eastAsia="Times New Roman" w:hAnsi="Symbol" w:cs="Symbol"/>
      <w:sz w:val="20"/>
      <w:szCs w:val="20"/>
      <w:lang w:val="en-US"/>
    </w:rPr>
  </w:style>
  <w:style w:type="character" w:customStyle="1" w:styleId="fontstyle01">
    <w:name w:val="fontstyle01"/>
    <w:basedOn w:val="a0"/>
    <w:rsid w:val="00C73A81"/>
    <w:rPr>
      <w:rFonts w:ascii="Arial" w:hAnsi="Arial" w:cs="Arial" w:hint="default"/>
      <w:b/>
      <w:bCs/>
      <w:i w:val="0"/>
      <w:iCs w:val="0"/>
      <w:color w:val="000000"/>
      <w:sz w:val="32"/>
      <w:szCs w:val="32"/>
    </w:rPr>
  </w:style>
  <w:style w:type="paragraph" w:styleId="aa">
    <w:name w:val="Balloon Text"/>
    <w:basedOn w:val="a"/>
    <w:link w:val="ab"/>
    <w:uiPriority w:val="99"/>
    <w:semiHidden/>
    <w:unhideWhenUsed/>
    <w:rsid w:val="00BC237B"/>
    <w:rPr>
      <w:rFonts w:ascii="Segoe UI" w:hAnsi="Segoe UI" w:cs="Segoe UI"/>
      <w:sz w:val="18"/>
      <w:szCs w:val="18"/>
    </w:rPr>
  </w:style>
  <w:style w:type="character" w:customStyle="1" w:styleId="ab">
    <w:name w:val="Текст выноски Знак"/>
    <w:basedOn w:val="a0"/>
    <w:link w:val="aa"/>
    <w:uiPriority w:val="99"/>
    <w:semiHidden/>
    <w:rsid w:val="00BC237B"/>
    <w:rPr>
      <w:rFonts w:ascii="Segoe UI" w:hAnsi="Segoe UI" w:cs="Segoe UI"/>
      <w:sz w:val="18"/>
      <w:szCs w:val="18"/>
      <w:lang w:eastAsia="en-US"/>
    </w:rPr>
  </w:style>
  <w:style w:type="character" w:styleId="ac">
    <w:name w:val="Placeholder Text"/>
    <w:basedOn w:val="a0"/>
    <w:uiPriority w:val="99"/>
    <w:semiHidden/>
    <w:rsid w:val="00AF19F6"/>
    <w:rPr>
      <w:color w:val="808080"/>
    </w:rPr>
  </w:style>
  <w:style w:type="paragraph" w:styleId="ad">
    <w:name w:val="List Paragraph"/>
    <w:basedOn w:val="a"/>
    <w:uiPriority w:val="34"/>
    <w:qFormat/>
    <w:rsid w:val="005A2BD0"/>
    <w:pPr>
      <w:ind w:left="720"/>
      <w:contextualSpacing/>
    </w:pPr>
  </w:style>
  <w:style w:type="table" w:styleId="ae">
    <w:name w:val="Table Grid"/>
    <w:basedOn w:val="a1"/>
    <w:uiPriority w:val="39"/>
    <w:rsid w:val="000B31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5E3EBF"/>
    <w:rPr>
      <w:rFonts w:ascii="Cambria Math" w:hAnsi="Cambria Math" w:hint="default"/>
      <w:b w:val="0"/>
      <w:bCs w:val="0"/>
      <w:i w:val="0"/>
      <w:iCs w:val="0"/>
      <w:color w:val="000000"/>
      <w:sz w:val="14"/>
      <w:szCs w:val="14"/>
    </w:rPr>
  </w:style>
  <w:style w:type="character" w:customStyle="1" w:styleId="fontstyle31">
    <w:name w:val="fontstyle31"/>
    <w:basedOn w:val="a0"/>
    <w:rsid w:val="005E3EBF"/>
    <w:rPr>
      <w:rFonts w:ascii="Times New Roman" w:hAnsi="Times New Roman" w:cs="Times New Roman" w:hint="default"/>
      <w:b w:val="0"/>
      <w:bCs w:val="0"/>
      <w:i w:val="0"/>
      <w:iCs w:val="0"/>
      <w:color w:val="000000"/>
      <w:sz w:val="20"/>
      <w:szCs w:val="20"/>
    </w:rPr>
  </w:style>
  <w:style w:type="table" w:customStyle="1" w:styleId="TableNormal">
    <w:name w:val="Table Normal"/>
    <w:uiPriority w:val="2"/>
    <w:semiHidden/>
    <w:unhideWhenUsed/>
    <w:qFormat/>
    <w:rsid w:val="0033588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5887"/>
    <w:pPr>
      <w:widowControl w:val="0"/>
      <w:autoSpaceDE w:val="0"/>
      <w:autoSpaceDN w:val="0"/>
    </w:pPr>
    <w:rPr>
      <w:rFonts w:ascii="Times New Roman" w:eastAsia="Times New Roman" w:hAnsi="Times New Roman"/>
      <w:sz w:val="22"/>
      <w:szCs w:val="22"/>
      <w:lang w:val="en-US"/>
    </w:rPr>
  </w:style>
  <w:style w:type="paragraph" w:customStyle="1" w:styleId="Default">
    <w:name w:val="Default"/>
    <w:rsid w:val="000E1D01"/>
    <w:pPr>
      <w:autoSpaceDE w:val="0"/>
      <w:autoSpaceDN w:val="0"/>
      <w:adjustRightInd w:val="0"/>
    </w:pPr>
    <w:rPr>
      <w:rFonts w:ascii="Times New Roman" w:eastAsiaTheme="minorHAnsi" w:hAnsi="Times New Roman"/>
      <w:color w:val="000000"/>
      <w:sz w:val="24"/>
      <w:szCs w:val="24"/>
      <w:lang w:eastAsia="en-US"/>
    </w:rPr>
  </w:style>
  <w:style w:type="character" w:customStyle="1" w:styleId="af">
    <w:name w:val="Основной текст_"/>
    <w:basedOn w:val="a0"/>
    <w:link w:val="11"/>
    <w:rsid w:val="00BD4F1D"/>
    <w:rPr>
      <w:rFonts w:ascii="Cambria" w:eastAsia="Cambria" w:hAnsi="Cambria" w:cs="Cambria"/>
      <w:sz w:val="26"/>
      <w:szCs w:val="26"/>
    </w:rPr>
  </w:style>
  <w:style w:type="paragraph" w:customStyle="1" w:styleId="11">
    <w:name w:val="Основной текст1"/>
    <w:basedOn w:val="a"/>
    <w:link w:val="af"/>
    <w:rsid w:val="00BD4F1D"/>
    <w:pPr>
      <w:widowControl w:val="0"/>
      <w:spacing w:line="276" w:lineRule="auto"/>
      <w:ind w:firstLine="400"/>
    </w:pPr>
    <w:rPr>
      <w:rFonts w:ascii="Cambria" w:eastAsia="Cambria" w:hAnsi="Cambria" w:cs="Cambria"/>
      <w:sz w:val="26"/>
      <w:szCs w:val="26"/>
      <w:lang w:eastAsia="ru-RU"/>
    </w:rPr>
  </w:style>
  <w:style w:type="character" w:styleId="af0">
    <w:name w:val="Unresolved Mention"/>
    <w:basedOn w:val="a0"/>
    <w:uiPriority w:val="99"/>
    <w:semiHidden/>
    <w:unhideWhenUsed/>
    <w:rsid w:val="00C55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9089">
      <w:bodyDiv w:val="1"/>
      <w:marLeft w:val="0"/>
      <w:marRight w:val="0"/>
      <w:marTop w:val="0"/>
      <w:marBottom w:val="0"/>
      <w:divBdr>
        <w:top w:val="none" w:sz="0" w:space="0" w:color="auto"/>
        <w:left w:val="none" w:sz="0" w:space="0" w:color="auto"/>
        <w:bottom w:val="none" w:sz="0" w:space="0" w:color="auto"/>
        <w:right w:val="none" w:sz="0" w:space="0" w:color="auto"/>
      </w:divBdr>
    </w:div>
    <w:div w:id="134421976">
      <w:bodyDiv w:val="1"/>
      <w:marLeft w:val="0"/>
      <w:marRight w:val="0"/>
      <w:marTop w:val="0"/>
      <w:marBottom w:val="0"/>
      <w:divBdr>
        <w:top w:val="none" w:sz="0" w:space="0" w:color="auto"/>
        <w:left w:val="none" w:sz="0" w:space="0" w:color="auto"/>
        <w:bottom w:val="none" w:sz="0" w:space="0" w:color="auto"/>
        <w:right w:val="none" w:sz="0" w:space="0" w:color="auto"/>
      </w:divBdr>
    </w:div>
    <w:div w:id="318388060">
      <w:bodyDiv w:val="1"/>
      <w:marLeft w:val="0"/>
      <w:marRight w:val="0"/>
      <w:marTop w:val="0"/>
      <w:marBottom w:val="0"/>
      <w:divBdr>
        <w:top w:val="none" w:sz="0" w:space="0" w:color="auto"/>
        <w:left w:val="none" w:sz="0" w:space="0" w:color="auto"/>
        <w:bottom w:val="none" w:sz="0" w:space="0" w:color="auto"/>
        <w:right w:val="none" w:sz="0" w:space="0" w:color="auto"/>
      </w:divBdr>
    </w:div>
    <w:div w:id="475950521">
      <w:bodyDiv w:val="1"/>
      <w:marLeft w:val="0"/>
      <w:marRight w:val="0"/>
      <w:marTop w:val="0"/>
      <w:marBottom w:val="0"/>
      <w:divBdr>
        <w:top w:val="none" w:sz="0" w:space="0" w:color="auto"/>
        <w:left w:val="none" w:sz="0" w:space="0" w:color="auto"/>
        <w:bottom w:val="none" w:sz="0" w:space="0" w:color="auto"/>
        <w:right w:val="none" w:sz="0" w:space="0" w:color="auto"/>
      </w:divBdr>
    </w:div>
    <w:div w:id="527304110">
      <w:bodyDiv w:val="1"/>
      <w:marLeft w:val="0"/>
      <w:marRight w:val="0"/>
      <w:marTop w:val="0"/>
      <w:marBottom w:val="0"/>
      <w:divBdr>
        <w:top w:val="none" w:sz="0" w:space="0" w:color="auto"/>
        <w:left w:val="none" w:sz="0" w:space="0" w:color="auto"/>
        <w:bottom w:val="none" w:sz="0" w:space="0" w:color="auto"/>
        <w:right w:val="none" w:sz="0" w:space="0" w:color="auto"/>
      </w:divBdr>
    </w:div>
    <w:div w:id="530069283">
      <w:bodyDiv w:val="1"/>
      <w:marLeft w:val="0"/>
      <w:marRight w:val="0"/>
      <w:marTop w:val="0"/>
      <w:marBottom w:val="0"/>
      <w:divBdr>
        <w:top w:val="none" w:sz="0" w:space="0" w:color="auto"/>
        <w:left w:val="none" w:sz="0" w:space="0" w:color="auto"/>
        <w:bottom w:val="none" w:sz="0" w:space="0" w:color="auto"/>
        <w:right w:val="none" w:sz="0" w:space="0" w:color="auto"/>
      </w:divBdr>
    </w:div>
    <w:div w:id="603533224">
      <w:bodyDiv w:val="1"/>
      <w:marLeft w:val="0"/>
      <w:marRight w:val="0"/>
      <w:marTop w:val="0"/>
      <w:marBottom w:val="0"/>
      <w:divBdr>
        <w:top w:val="none" w:sz="0" w:space="0" w:color="auto"/>
        <w:left w:val="none" w:sz="0" w:space="0" w:color="auto"/>
        <w:bottom w:val="none" w:sz="0" w:space="0" w:color="auto"/>
        <w:right w:val="none" w:sz="0" w:space="0" w:color="auto"/>
      </w:divBdr>
    </w:div>
    <w:div w:id="619461769">
      <w:bodyDiv w:val="1"/>
      <w:marLeft w:val="0"/>
      <w:marRight w:val="0"/>
      <w:marTop w:val="0"/>
      <w:marBottom w:val="0"/>
      <w:divBdr>
        <w:top w:val="none" w:sz="0" w:space="0" w:color="auto"/>
        <w:left w:val="none" w:sz="0" w:space="0" w:color="auto"/>
        <w:bottom w:val="none" w:sz="0" w:space="0" w:color="auto"/>
        <w:right w:val="none" w:sz="0" w:space="0" w:color="auto"/>
      </w:divBdr>
    </w:div>
    <w:div w:id="676611605">
      <w:bodyDiv w:val="1"/>
      <w:marLeft w:val="0"/>
      <w:marRight w:val="0"/>
      <w:marTop w:val="0"/>
      <w:marBottom w:val="0"/>
      <w:divBdr>
        <w:top w:val="none" w:sz="0" w:space="0" w:color="auto"/>
        <w:left w:val="none" w:sz="0" w:space="0" w:color="auto"/>
        <w:bottom w:val="none" w:sz="0" w:space="0" w:color="auto"/>
        <w:right w:val="none" w:sz="0" w:space="0" w:color="auto"/>
      </w:divBdr>
    </w:div>
    <w:div w:id="746656874">
      <w:bodyDiv w:val="1"/>
      <w:marLeft w:val="0"/>
      <w:marRight w:val="0"/>
      <w:marTop w:val="0"/>
      <w:marBottom w:val="0"/>
      <w:divBdr>
        <w:top w:val="none" w:sz="0" w:space="0" w:color="auto"/>
        <w:left w:val="none" w:sz="0" w:space="0" w:color="auto"/>
        <w:bottom w:val="none" w:sz="0" w:space="0" w:color="auto"/>
        <w:right w:val="none" w:sz="0" w:space="0" w:color="auto"/>
      </w:divBdr>
    </w:div>
    <w:div w:id="807357645">
      <w:bodyDiv w:val="1"/>
      <w:marLeft w:val="0"/>
      <w:marRight w:val="0"/>
      <w:marTop w:val="0"/>
      <w:marBottom w:val="0"/>
      <w:divBdr>
        <w:top w:val="none" w:sz="0" w:space="0" w:color="auto"/>
        <w:left w:val="none" w:sz="0" w:space="0" w:color="auto"/>
        <w:bottom w:val="none" w:sz="0" w:space="0" w:color="auto"/>
        <w:right w:val="none" w:sz="0" w:space="0" w:color="auto"/>
      </w:divBdr>
    </w:div>
    <w:div w:id="832187160">
      <w:bodyDiv w:val="1"/>
      <w:marLeft w:val="0"/>
      <w:marRight w:val="0"/>
      <w:marTop w:val="0"/>
      <w:marBottom w:val="0"/>
      <w:divBdr>
        <w:top w:val="none" w:sz="0" w:space="0" w:color="auto"/>
        <w:left w:val="none" w:sz="0" w:space="0" w:color="auto"/>
        <w:bottom w:val="none" w:sz="0" w:space="0" w:color="auto"/>
        <w:right w:val="none" w:sz="0" w:space="0" w:color="auto"/>
      </w:divBdr>
    </w:div>
    <w:div w:id="934630265">
      <w:bodyDiv w:val="1"/>
      <w:marLeft w:val="0"/>
      <w:marRight w:val="0"/>
      <w:marTop w:val="0"/>
      <w:marBottom w:val="0"/>
      <w:divBdr>
        <w:top w:val="none" w:sz="0" w:space="0" w:color="auto"/>
        <w:left w:val="none" w:sz="0" w:space="0" w:color="auto"/>
        <w:bottom w:val="none" w:sz="0" w:space="0" w:color="auto"/>
        <w:right w:val="none" w:sz="0" w:space="0" w:color="auto"/>
      </w:divBdr>
    </w:div>
    <w:div w:id="937912262">
      <w:bodyDiv w:val="1"/>
      <w:marLeft w:val="0"/>
      <w:marRight w:val="0"/>
      <w:marTop w:val="0"/>
      <w:marBottom w:val="0"/>
      <w:divBdr>
        <w:top w:val="none" w:sz="0" w:space="0" w:color="auto"/>
        <w:left w:val="none" w:sz="0" w:space="0" w:color="auto"/>
        <w:bottom w:val="none" w:sz="0" w:space="0" w:color="auto"/>
        <w:right w:val="none" w:sz="0" w:space="0" w:color="auto"/>
      </w:divBdr>
    </w:div>
    <w:div w:id="948001282">
      <w:bodyDiv w:val="1"/>
      <w:marLeft w:val="0"/>
      <w:marRight w:val="0"/>
      <w:marTop w:val="0"/>
      <w:marBottom w:val="0"/>
      <w:divBdr>
        <w:top w:val="none" w:sz="0" w:space="0" w:color="auto"/>
        <w:left w:val="none" w:sz="0" w:space="0" w:color="auto"/>
        <w:bottom w:val="none" w:sz="0" w:space="0" w:color="auto"/>
        <w:right w:val="none" w:sz="0" w:space="0" w:color="auto"/>
      </w:divBdr>
    </w:div>
    <w:div w:id="1035153642">
      <w:bodyDiv w:val="1"/>
      <w:marLeft w:val="0"/>
      <w:marRight w:val="0"/>
      <w:marTop w:val="0"/>
      <w:marBottom w:val="0"/>
      <w:divBdr>
        <w:top w:val="none" w:sz="0" w:space="0" w:color="auto"/>
        <w:left w:val="none" w:sz="0" w:space="0" w:color="auto"/>
        <w:bottom w:val="none" w:sz="0" w:space="0" w:color="auto"/>
        <w:right w:val="none" w:sz="0" w:space="0" w:color="auto"/>
      </w:divBdr>
    </w:div>
    <w:div w:id="1064597868">
      <w:bodyDiv w:val="1"/>
      <w:marLeft w:val="0"/>
      <w:marRight w:val="0"/>
      <w:marTop w:val="0"/>
      <w:marBottom w:val="0"/>
      <w:divBdr>
        <w:top w:val="none" w:sz="0" w:space="0" w:color="auto"/>
        <w:left w:val="none" w:sz="0" w:space="0" w:color="auto"/>
        <w:bottom w:val="none" w:sz="0" w:space="0" w:color="auto"/>
        <w:right w:val="none" w:sz="0" w:space="0" w:color="auto"/>
      </w:divBdr>
    </w:div>
    <w:div w:id="1117289076">
      <w:bodyDiv w:val="1"/>
      <w:marLeft w:val="0"/>
      <w:marRight w:val="0"/>
      <w:marTop w:val="0"/>
      <w:marBottom w:val="0"/>
      <w:divBdr>
        <w:top w:val="none" w:sz="0" w:space="0" w:color="auto"/>
        <w:left w:val="none" w:sz="0" w:space="0" w:color="auto"/>
        <w:bottom w:val="none" w:sz="0" w:space="0" w:color="auto"/>
        <w:right w:val="none" w:sz="0" w:space="0" w:color="auto"/>
      </w:divBdr>
    </w:div>
    <w:div w:id="1188058793">
      <w:bodyDiv w:val="1"/>
      <w:marLeft w:val="0"/>
      <w:marRight w:val="0"/>
      <w:marTop w:val="0"/>
      <w:marBottom w:val="0"/>
      <w:divBdr>
        <w:top w:val="none" w:sz="0" w:space="0" w:color="auto"/>
        <w:left w:val="none" w:sz="0" w:space="0" w:color="auto"/>
        <w:bottom w:val="none" w:sz="0" w:space="0" w:color="auto"/>
        <w:right w:val="none" w:sz="0" w:space="0" w:color="auto"/>
      </w:divBdr>
    </w:div>
    <w:div w:id="1263803185">
      <w:bodyDiv w:val="1"/>
      <w:marLeft w:val="0"/>
      <w:marRight w:val="0"/>
      <w:marTop w:val="0"/>
      <w:marBottom w:val="0"/>
      <w:divBdr>
        <w:top w:val="none" w:sz="0" w:space="0" w:color="auto"/>
        <w:left w:val="none" w:sz="0" w:space="0" w:color="auto"/>
        <w:bottom w:val="none" w:sz="0" w:space="0" w:color="auto"/>
        <w:right w:val="none" w:sz="0" w:space="0" w:color="auto"/>
      </w:divBdr>
    </w:div>
    <w:div w:id="1308317069">
      <w:bodyDiv w:val="1"/>
      <w:marLeft w:val="0"/>
      <w:marRight w:val="0"/>
      <w:marTop w:val="0"/>
      <w:marBottom w:val="0"/>
      <w:divBdr>
        <w:top w:val="none" w:sz="0" w:space="0" w:color="auto"/>
        <w:left w:val="none" w:sz="0" w:space="0" w:color="auto"/>
        <w:bottom w:val="none" w:sz="0" w:space="0" w:color="auto"/>
        <w:right w:val="none" w:sz="0" w:space="0" w:color="auto"/>
      </w:divBdr>
    </w:div>
    <w:div w:id="1378092782">
      <w:bodyDiv w:val="1"/>
      <w:marLeft w:val="0"/>
      <w:marRight w:val="0"/>
      <w:marTop w:val="0"/>
      <w:marBottom w:val="0"/>
      <w:divBdr>
        <w:top w:val="none" w:sz="0" w:space="0" w:color="auto"/>
        <w:left w:val="none" w:sz="0" w:space="0" w:color="auto"/>
        <w:bottom w:val="none" w:sz="0" w:space="0" w:color="auto"/>
        <w:right w:val="none" w:sz="0" w:space="0" w:color="auto"/>
      </w:divBdr>
    </w:div>
    <w:div w:id="1486776713">
      <w:bodyDiv w:val="1"/>
      <w:marLeft w:val="0"/>
      <w:marRight w:val="0"/>
      <w:marTop w:val="0"/>
      <w:marBottom w:val="0"/>
      <w:divBdr>
        <w:top w:val="none" w:sz="0" w:space="0" w:color="auto"/>
        <w:left w:val="none" w:sz="0" w:space="0" w:color="auto"/>
        <w:bottom w:val="none" w:sz="0" w:space="0" w:color="auto"/>
        <w:right w:val="none" w:sz="0" w:space="0" w:color="auto"/>
      </w:divBdr>
    </w:div>
    <w:div w:id="1500653763">
      <w:bodyDiv w:val="1"/>
      <w:marLeft w:val="0"/>
      <w:marRight w:val="0"/>
      <w:marTop w:val="0"/>
      <w:marBottom w:val="0"/>
      <w:divBdr>
        <w:top w:val="none" w:sz="0" w:space="0" w:color="auto"/>
        <w:left w:val="none" w:sz="0" w:space="0" w:color="auto"/>
        <w:bottom w:val="none" w:sz="0" w:space="0" w:color="auto"/>
        <w:right w:val="none" w:sz="0" w:space="0" w:color="auto"/>
      </w:divBdr>
    </w:div>
    <w:div w:id="1518305195">
      <w:bodyDiv w:val="1"/>
      <w:marLeft w:val="0"/>
      <w:marRight w:val="0"/>
      <w:marTop w:val="0"/>
      <w:marBottom w:val="0"/>
      <w:divBdr>
        <w:top w:val="none" w:sz="0" w:space="0" w:color="auto"/>
        <w:left w:val="none" w:sz="0" w:space="0" w:color="auto"/>
        <w:bottom w:val="none" w:sz="0" w:space="0" w:color="auto"/>
        <w:right w:val="none" w:sz="0" w:space="0" w:color="auto"/>
      </w:divBdr>
      <w:divsChild>
        <w:div w:id="1882858596">
          <w:marLeft w:val="0"/>
          <w:marRight w:val="0"/>
          <w:marTop w:val="0"/>
          <w:marBottom w:val="0"/>
          <w:divBdr>
            <w:top w:val="single" w:sz="2" w:space="0" w:color="E3E3E3"/>
            <w:left w:val="single" w:sz="2" w:space="0" w:color="E3E3E3"/>
            <w:bottom w:val="single" w:sz="2" w:space="0" w:color="E3E3E3"/>
            <w:right w:val="single" w:sz="2" w:space="0" w:color="E3E3E3"/>
          </w:divBdr>
          <w:divsChild>
            <w:div w:id="431634555">
              <w:marLeft w:val="0"/>
              <w:marRight w:val="0"/>
              <w:marTop w:val="0"/>
              <w:marBottom w:val="0"/>
              <w:divBdr>
                <w:top w:val="single" w:sz="2" w:space="0" w:color="E3E3E3"/>
                <w:left w:val="single" w:sz="2" w:space="0" w:color="E3E3E3"/>
                <w:bottom w:val="single" w:sz="2" w:space="0" w:color="E3E3E3"/>
                <w:right w:val="single" w:sz="2" w:space="0" w:color="E3E3E3"/>
              </w:divBdr>
              <w:divsChild>
                <w:div w:id="59787533">
                  <w:marLeft w:val="0"/>
                  <w:marRight w:val="0"/>
                  <w:marTop w:val="0"/>
                  <w:marBottom w:val="0"/>
                  <w:divBdr>
                    <w:top w:val="single" w:sz="2" w:space="0" w:color="E3E3E3"/>
                    <w:left w:val="single" w:sz="2" w:space="0" w:color="E3E3E3"/>
                    <w:bottom w:val="single" w:sz="2" w:space="0" w:color="E3E3E3"/>
                    <w:right w:val="single" w:sz="2" w:space="0" w:color="E3E3E3"/>
                  </w:divBdr>
                  <w:divsChild>
                    <w:div w:id="1063873197">
                      <w:marLeft w:val="0"/>
                      <w:marRight w:val="0"/>
                      <w:marTop w:val="0"/>
                      <w:marBottom w:val="0"/>
                      <w:divBdr>
                        <w:top w:val="single" w:sz="2" w:space="0" w:color="E3E3E3"/>
                        <w:left w:val="single" w:sz="2" w:space="0" w:color="E3E3E3"/>
                        <w:bottom w:val="single" w:sz="2" w:space="0" w:color="E3E3E3"/>
                        <w:right w:val="single" w:sz="2" w:space="0" w:color="E3E3E3"/>
                      </w:divBdr>
                      <w:divsChild>
                        <w:div w:id="179205810">
                          <w:marLeft w:val="0"/>
                          <w:marRight w:val="0"/>
                          <w:marTop w:val="0"/>
                          <w:marBottom w:val="0"/>
                          <w:divBdr>
                            <w:top w:val="single" w:sz="2" w:space="0" w:color="E3E3E3"/>
                            <w:left w:val="single" w:sz="2" w:space="0" w:color="E3E3E3"/>
                            <w:bottom w:val="single" w:sz="2" w:space="0" w:color="E3E3E3"/>
                            <w:right w:val="single" w:sz="2" w:space="0" w:color="E3E3E3"/>
                          </w:divBdr>
                          <w:divsChild>
                            <w:div w:id="915169270">
                              <w:marLeft w:val="0"/>
                              <w:marRight w:val="0"/>
                              <w:marTop w:val="100"/>
                              <w:marBottom w:val="100"/>
                              <w:divBdr>
                                <w:top w:val="single" w:sz="2" w:space="0" w:color="E3E3E3"/>
                                <w:left w:val="single" w:sz="2" w:space="0" w:color="E3E3E3"/>
                                <w:bottom w:val="single" w:sz="2" w:space="0" w:color="E3E3E3"/>
                                <w:right w:val="single" w:sz="2" w:space="0" w:color="E3E3E3"/>
                              </w:divBdr>
                              <w:divsChild>
                                <w:div w:id="1889143920">
                                  <w:marLeft w:val="0"/>
                                  <w:marRight w:val="0"/>
                                  <w:marTop w:val="0"/>
                                  <w:marBottom w:val="0"/>
                                  <w:divBdr>
                                    <w:top w:val="single" w:sz="2" w:space="0" w:color="E3E3E3"/>
                                    <w:left w:val="single" w:sz="2" w:space="0" w:color="E3E3E3"/>
                                    <w:bottom w:val="single" w:sz="2" w:space="0" w:color="E3E3E3"/>
                                    <w:right w:val="single" w:sz="2" w:space="0" w:color="E3E3E3"/>
                                  </w:divBdr>
                                  <w:divsChild>
                                    <w:div w:id="2106806334">
                                      <w:marLeft w:val="0"/>
                                      <w:marRight w:val="0"/>
                                      <w:marTop w:val="0"/>
                                      <w:marBottom w:val="0"/>
                                      <w:divBdr>
                                        <w:top w:val="single" w:sz="2" w:space="0" w:color="E3E3E3"/>
                                        <w:left w:val="single" w:sz="2" w:space="0" w:color="E3E3E3"/>
                                        <w:bottom w:val="single" w:sz="2" w:space="0" w:color="E3E3E3"/>
                                        <w:right w:val="single" w:sz="2" w:space="0" w:color="E3E3E3"/>
                                      </w:divBdr>
                                      <w:divsChild>
                                        <w:div w:id="2057897477">
                                          <w:marLeft w:val="0"/>
                                          <w:marRight w:val="0"/>
                                          <w:marTop w:val="0"/>
                                          <w:marBottom w:val="0"/>
                                          <w:divBdr>
                                            <w:top w:val="single" w:sz="2" w:space="0" w:color="E3E3E3"/>
                                            <w:left w:val="single" w:sz="2" w:space="0" w:color="E3E3E3"/>
                                            <w:bottom w:val="single" w:sz="2" w:space="0" w:color="E3E3E3"/>
                                            <w:right w:val="single" w:sz="2" w:space="0" w:color="E3E3E3"/>
                                          </w:divBdr>
                                          <w:divsChild>
                                            <w:div w:id="126629311">
                                              <w:marLeft w:val="0"/>
                                              <w:marRight w:val="0"/>
                                              <w:marTop w:val="0"/>
                                              <w:marBottom w:val="0"/>
                                              <w:divBdr>
                                                <w:top w:val="single" w:sz="2" w:space="0" w:color="E3E3E3"/>
                                                <w:left w:val="single" w:sz="2" w:space="0" w:color="E3E3E3"/>
                                                <w:bottom w:val="single" w:sz="2" w:space="0" w:color="E3E3E3"/>
                                                <w:right w:val="single" w:sz="2" w:space="0" w:color="E3E3E3"/>
                                              </w:divBdr>
                                              <w:divsChild>
                                                <w:div w:id="1881431567">
                                                  <w:marLeft w:val="0"/>
                                                  <w:marRight w:val="0"/>
                                                  <w:marTop w:val="0"/>
                                                  <w:marBottom w:val="0"/>
                                                  <w:divBdr>
                                                    <w:top w:val="single" w:sz="2" w:space="0" w:color="E3E3E3"/>
                                                    <w:left w:val="single" w:sz="2" w:space="0" w:color="E3E3E3"/>
                                                    <w:bottom w:val="single" w:sz="2" w:space="0" w:color="E3E3E3"/>
                                                    <w:right w:val="single" w:sz="2" w:space="0" w:color="E3E3E3"/>
                                                  </w:divBdr>
                                                  <w:divsChild>
                                                    <w:div w:id="2385577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03969009">
          <w:marLeft w:val="0"/>
          <w:marRight w:val="0"/>
          <w:marTop w:val="0"/>
          <w:marBottom w:val="0"/>
          <w:divBdr>
            <w:top w:val="none" w:sz="0" w:space="0" w:color="auto"/>
            <w:left w:val="none" w:sz="0" w:space="0" w:color="auto"/>
            <w:bottom w:val="none" w:sz="0" w:space="0" w:color="auto"/>
            <w:right w:val="none" w:sz="0" w:space="0" w:color="auto"/>
          </w:divBdr>
        </w:div>
      </w:divsChild>
    </w:div>
    <w:div w:id="1518733450">
      <w:bodyDiv w:val="1"/>
      <w:marLeft w:val="0"/>
      <w:marRight w:val="0"/>
      <w:marTop w:val="0"/>
      <w:marBottom w:val="0"/>
      <w:divBdr>
        <w:top w:val="none" w:sz="0" w:space="0" w:color="auto"/>
        <w:left w:val="none" w:sz="0" w:space="0" w:color="auto"/>
        <w:bottom w:val="none" w:sz="0" w:space="0" w:color="auto"/>
        <w:right w:val="none" w:sz="0" w:space="0" w:color="auto"/>
      </w:divBdr>
    </w:div>
    <w:div w:id="1670595949">
      <w:bodyDiv w:val="1"/>
      <w:marLeft w:val="0"/>
      <w:marRight w:val="0"/>
      <w:marTop w:val="0"/>
      <w:marBottom w:val="0"/>
      <w:divBdr>
        <w:top w:val="none" w:sz="0" w:space="0" w:color="auto"/>
        <w:left w:val="none" w:sz="0" w:space="0" w:color="auto"/>
        <w:bottom w:val="none" w:sz="0" w:space="0" w:color="auto"/>
        <w:right w:val="none" w:sz="0" w:space="0" w:color="auto"/>
      </w:divBdr>
    </w:div>
    <w:div w:id="1760520532">
      <w:bodyDiv w:val="1"/>
      <w:marLeft w:val="0"/>
      <w:marRight w:val="0"/>
      <w:marTop w:val="0"/>
      <w:marBottom w:val="0"/>
      <w:divBdr>
        <w:top w:val="none" w:sz="0" w:space="0" w:color="auto"/>
        <w:left w:val="none" w:sz="0" w:space="0" w:color="auto"/>
        <w:bottom w:val="none" w:sz="0" w:space="0" w:color="auto"/>
        <w:right w:val="none" w:sz="0" w:space="0" w:color="auto"/>
      </w:divBdr>
    </w:div>
    <w:div w:id="1784878631">
      <w:bodyDiv w:val="1"/>
      <w:marLeft w:val="0"/>
      <w:marRight w:val="0"/>
      <w:marTop w:val="0"/>
      <w:marBottom w:val="0"/>
      <w:divBdr>
        <w:top w:val="none" w:sz="0" w:space="0" w:color="auto"/>
        <w:left w:val="none" w:sz="0" w:space="0" w:color="auto"/>
        <w:bottom w:val="none" w:sz="0" w:space="0" w:color="auto"/>
        <w:right w:val="none" w:sz="0" w:space="0" w:color="auto"/>
      </w:divBdr>
    </w:div>
    <w:div w:id="1858959058">
      <w:bodyDiv w:val="1"/>
      <w:marLeft w:val="0"/>
      <w:marRight w:val="0"/>
      <w:marTop w:val="0"/>
      <w:marBottom w:val="0"/>
      <w:divBdr>
        <w:top w:val="none" w:sz="0" w:space="0" w:color="auto"/>
        <w:left w:val="none" w:sz="0" w:space="0" w:color="auto"/>
        <w:bottom w:val="none" w:sz="0" w:space="0" w:color="auto"/>
        <w:right w:val="none" w:sz="0" w:space="0" w:color="auto"/>
      </w:divBdr>
      <w:divsChild>
        <w:div w:id="804543738">
          <w:marLeft w:val="0"/>
          <w:marRight w:val="0"/>
          <w:marTop w:val="0"/>
          <w:marBottom w:val="0"/>
          <w:divBdr>
            <w:top w:val="single" w:sz="2" w:space="0" w:color="E3E3E3"/>
            <w:left w:val="single" w:sz="2" w:space="0" w:color="E3E3E3"/>
            <w:bottom w:val="single" w:sz="2" w:space="0" w:color="E3E3E3"/>
            <w:right w:val="single" w:sz="2" w:space="0" w:color="E3E3E3"/>
          </w:divBdr>
          <w:divsChild>
            <w:div w:id="488833652">
              <w:marLeft w:val="0"/>
              <w:marRight w:val="0"/>
              <w:marTop w:val="0"/>
              <w:marBottom w:val="0"/>
              <w:divBdr>
                <w:top w:val="single" w:sz="2" w:space="0" w:color="E3E3E3"/>
                <w:left w:val="single" w:sz="2" w:space="0" w:color="E3E3E3"/>
                <w:bottom w:val="single" w:sz="2" w:space="0" w:color="E3E3E3"/>
                <w:right w:val="single" w:sz="2" w:space="0" w:color="E3E3E3"/>
              </w:divBdr>
              <w:divsChild>
                <w:div w:id="1222986551">
                  <w:marLeft w:val="0"/>
                  <w:marRight w:val="0"/>
                  <w:marTop w:val="0"/>
                  <w:marBottom w:val="0"/>
                  <w:divBdr>
                    <w:top w:val="single" w:sz="2" w:space="0" w:color="E3E3E3"/>
                    <w:left w:val="single" w:sz="2" w:space="0" w:color="E3E3E3"/>
                    <w:bottom w:val="single" w:sz="2" w:space="0" w:color="E3E3E3"/>
                    <w:right w:val="single" w:sz="2" w:space="0" w:color="E3E3E3"/>
                  </w:divBdr>
                  <w:divsChild>
                    <w:div w:id="1473713382">
                      <w:marLeft w:val="0"/>
                      <w:marRight w:val="0"/>
                      <w:marTop w:val="0"/>
                      <w:marBottom w:val="0"/>
                      <w:divBdr>
                        <w:top w:val="single" w:sz="2" w:space="0" w:color="E3E3E3"/>
                        <w:left w:val="single" w:sz="2" w:space="0" w:color="E3E3E3"/>
                        <w:bottom w:val="single" w:sz="2" w:space="0" w:color="E3E3E3"/>
                        <w:right w:val="single" w:sz="2" w:space="0" w:color="E3E3E3"/>
                      </w:divBdr>
                      <w:divsChild>
                        <w:div w:id="1486700681">
                          <w:marLeft w:val="0"/>
                          <w:marRight w:val="0"/>
                          <w:marTop w:val="0"/>
                          <w:marBottom w:val="0"/>
                          <w:divBdr>
                            <w:top w:val="single" w:sz="2" w:space="0" w:color="E3E3E3"/>
                            <w:left w:val="single" w:sz="2" w:space="0" w:color="E3E3E3"/>
                            <w:bottom w:val="single" w:sz="2" w:space="0" w:color="E3E3E3"/>
                            <w:right w:val="single" w:sz="2" w:space="0" w:color="E3E3E3"/>
                          </w:divBdr>
                          <w:divsChild>
                            <w:div w:id="752242829">
                              <w:marLeft w:val="0"/>
                              <w:marRight w:val="0"/>
                              <w:marTop w:val="100"/>
                              <w:marBottom w:val="100"/>
                              <w:divBdr>
                                <w:top w:val="single" w:sz="2" w:space="0" w:color="E3E3E3"/>
                                <w:left w:val="single" w:sz="2" w:space="0" w:color="E3E3E3"/>
                                <w:bottom w:val="single" w:sz="2" w:space="0" w:color="E3E3E3"/>
                                <w:right w:val="single" w:sz="2" w:space="0" w:color="E3E3E3"/>
                              </w:divBdr>
                              <w:divsChild>
                                <w:div w:id="625040074">
                                  <w:marLeft w:val="0"/>
                                  <w:marRight w:val="0"/>
                                  <w:marTop w:val="0"/>
                                  <w:marBottom w:val="0"/>
                                  <w:divBdr>
                                    <w:top w:val="single" w:sz="2" w:space="0" w:color="E3E3E3"/>
                                    <w:left w:val="single" w:sz="2" w:space="0" w:color="E3E3E3"/>
                                    <w:bottom w:val="single" w:sz="2" w:space="0" w:color="E3E3E3"/>
                                    <w:right w:val="single" w:sz="2" w:space="0" w:color="E3E3E3"/>
                                  </w:divBdr>
                                  <w:divsChild>
                                    <w:div w:id="1972053199">
                                      <w:marLeft w:val="0"/>
                                      <w:marRight w:val="0"/>
                                      <w:marTop w:val="0"/>
                                      <w:marBottom w:val="0"/>
                                      <w:divBdr>
                                        <w:top w:val="single" w:sz="2" w:space="0" w:color="E3E3E3"/>
                                        <w:left w:val="single" w:sz="2" w:space="0" w:color="E3E3E3"/>
                                        <w:bottom w:val="single" w:sz="2" w:space="0" w:color="E3E3E3"/>
                                        <w:right w:val="single" w:sz="2" w:space="0" w:color="E3E3E3"/>
                                      </w:divBdr>
                                      <w:divsChild>
                                        <w:div w:id="1723364713">
                                          <w:marLeft w:val="0"/>
                                          <w:marRight w:val="0"/>
                                          <w:marTop w:val="0"/>
                                          <w:marBottom w:val="0"/>
                                          <w:divBdr>
                                            <w:top w:val="single" w:sz="2" w:space="0" w:color="E3E3E3"/>
                                            <w:left w:val="single" w:sz="2" w:space="0" w:color="E3E3E3"/>
                                            <w:bottom w:val="single" w:sz="2" w:space="0" w:color="E3E3E3"/>
                                            <w:right w:val="single" w:sz="2" w:space="0" w:color="E3E3E3"/>
                                          </w:divBdr>
                                          <w:divsChild>
                                            <w:div w:id="1969819692">
                                              <w:marLeft w:val="0"/>
                                              <w:marRight w:val="0"/>
                                              <w:marTop w:val="0"/>
                                              <w:marBottom w:val="0"/>
                                              <w:divBdr>
                                                <w:top w:val="single" w:sz="2" w:space="0" w:color="E3E3E3"/>
                                                <w:left w:val="single" w:sz="2" w:space="0" w:color="E3E3E3"/>
                                                <w:bottom w:val="single" w:sz="2" w:space="0" w:color="E3E3E3"/>
                                                <w:right w:val="single" w:sz="2" w:space="0" w:color="E3E3E3"/>
                                              </w:divBdr>
                                              <w:divsChild>
                                                <w:div w:id="1840341375">
                                                  <w:marLeft w:val="0"/>
                                                  <w:marRight w:val="0"/>
                                                  <w:marTop w:val="0"/>
                                                  <w:marBottom w:val="0"/>
                                                  <w:divBdr>
                                                    <w:top w:val="single" w:sz="2" w:space="0" w:color="E3E3E3"/>
                                                    <w:left w:val="single" w:sz="2" w:space="0" w:color="E3E3E3"/>
                                                    <w:bottom w:val="single" w:sz="2" w:space="0" w:color="E3E3E3"/>
                                                    <w:right w:val="single" w:sz="2" w:space="0" w:color="E3E3E3"/>
                                                  </w:divBdr>
                                                  <w:divsChild>
                                                    <w:div w:id="18237655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4351185">
          <w:marLeft w:val="0"/>
          <w:marRight w:val="0"/>
          <w:marTop w:val="0"/>
          <w:marBottom w:val="0"/>
          <w:divBdr>
            <w:top w:val="none" w:sz="0" w:space="0" w:color="auto"/>
            <w:left w:val="none" w:sz="0" w:space="0" w:color="auto"/>
            <w:bottom w:val="none" w:sz="0" w:space="0" w:color="auto"/>
            <w:right w:val="none" w:sz="0" w:space="0" w:color="auto"/>
          </w:divBdr>
        </w:div>
      </w:divsChild>
    </w:div>
    <w:div w:id="1954550382">
      <w:bodyDiv w:val="1"/>
      <w:marLeft w:val="0"/>
      <w:marRight w:val="0"/>
      <w:marTop w:val="0"/>
      <w:marBottom w:val="0"/>
      <w:divBdr>
        <w:top w:val="none" w:sz="0" w:space="0" w:color="auto"/>
        <w:left w:val="none" w:sz="0" w:space="0" w:color="auto"/>
        <w:bottom w:val="none" w:sz="0" w:space="0" w:color="auto"/>
        <w:right w:val="none" w:sz="0" w:space="0" w:color="auto"/>
      </w:divBdr>
    </w:div>
    <w:div w:id="1979218033">
      <w:bodyDiv w:val="1"/>
      <w:marLeft w:val="0"/>
      <w:marRight w:val="0"/>
      <w:marTop w:val="0"/>
      <w:marBottom w:val="0"/>
      <w:divBdr>
        <w:top w:val="none" w:sz="0" w:space="0" w:color="auto"/>
        <w:left w:val="none" w:sz="0" w:space="0" w:color="auto"/>
        <w:bottom w:val="none" w:sz="0" w:space="0" w:color="auto"/>
        <w:right w:val="none" w:sz="0" w:space="0" w:color="auto"/>
      </w:divBdr>
    </w:div>
    <w:div w:id="2014718029">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yrillic"/>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dordustmurodov@mail.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2D82D-D0F7-4378-9B94-4C217288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1519</Words>
  <Characters>8662</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10161</CharactersWithSpaces>
  <SharedDoc>false</SharedDoc>
  <HLinks>
    <vt:vector size="12" baseType="variant">
      <vt:variant>
        <vt:i4>5373954</vt:i4>
      </vt:variant>
      <vt:variant>
        <vt:i4>3</vt:i4>
      </vt:variant>
      <vt:variant>
        <vt:i4>0</vt:i4>
      </vt:variant>
      <vt:variant>
        <vt:i4>5</vt:i4>
      </vt:variant>
      <vt:variant>
        <vt:lpwstr>https://www.mendeley.com/</vt:lpwstr>
      </vt:variant>
      <vt:variant>
        <vt:lpwstr/>
      </vt:variant>
      <vt:variant>
        <vt:i4>2424928</vt:i4>
      </vt:variant>
      <vt:variant>
        <vt:i4>0</vt:i4>
      </vt:variant>
      <vt:variant>
        <vt:i4>0</vt:i4>
      </vt:variant>
      <vt:variant>
        <vt:i4>5</vt:i4>
      </vt:variant>
      <vt:variant>
        <vt:lpwstr>https://www.zotero.org/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Мыльников Леонид Александрович</dc:creator>
  <cp:keywords/>
  <dc:description/>
  <cp:lastModifiedBy>FIZIKA - SULTONALI</cp:lastModifiedBy>
  <cp:revision>6</cp:revision>
  <dcterms:created xsi:type="dcterms:W3CDTF">2024-03-26T09:11:00Z</dcterms:created>
  <dcterms:modified xsi:type="dcterms:W3CDTF">2024-04-15T06:00:00Z</dcterms:modified>
</cp:coreProperties>
</file>