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9FF16" w14:textId="76AB5A5F" w:rsidR="000D37FA" w:rsidRDefault="00000000" w:rsidP="007D50F0">
      <w:pPr>
        <w:pStyle w:val="a4"/>
        <w:spacing w:before="0" w:beforeAutospacing="0" w:after="0" w:afterAutospacing="0"/>
        <w:jc w:val="center"/>
        <w:rPr>
          <w:b/>
          <w:bCs/>
          <w:color w:val="222222"/>
          <w:sz w:val="20"/>
          <w:szCs w:val="20"/>
          <w:lang w:val="en-US"/>
        </w:rPr>
      </w:pPr>
      <w:r w:rsidRPr="007D50F0">
        <w:rPr>
          <w:b/>
          <w:bCs/>
          <w:color w:val="222222"/>
          <w:sz w:val="20"/>
          <w:szCs w:val="20"/>
        </w:rPr>
        <w:t>METAL</w:t>
      </w:r>
      <w:r w:rsidRPr="007D50F0">
        <w:rPr>
          <w:b/>
          <w:bCs/>
          <w:color w:val="222222"/>
          <w:sz w:val="20"/>
          <w:szCs w:val="20"/>
          <w:lang w:val="en-US"/>
        </w:rPr>
        <w:t>/SUPERCONDUCTOR</w:t>
      </w:r>
      <w:r w:rsidRPr="007D50F0">
        <w:rPr>
          <w:b/>
          <w:bCs/>
          <w:color w:val="222222"/>
          <w:sz w:val="20"/>
          <w:szCs w:val="20"/>
        </w:rPr>
        <w:t xml:space="preserve">-INSULATOR TRANSITIONS </w:t>
      </w:r>
      <w:r w:rsidRPr="007D50F0">
        <w:rPr>
          <w:b/>
          <w:bCs/>
          <w:color w:val="222222"/>
          <w:sz w:val="20"/>
          <w:szCs w:val="20"/>
          <w:lang w:val="en-US"/>
        </w:rPr>
        <w:t>AND THEIR INFLUENCE ON HIGH-</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T</m:t>
            </m:r>
          </m:e>
          <m:sub>
            <m:r>
              <m:rPr>
                <m:sty m:val="bi"/>
              </m:rPr>
              <w:rPr>
                <w:rFonts w:ascii="Cambria Math" w:hAnsi="Cambria Math"/>
                <w:sz w:val="20"/>
                <w:szCs w:val="20"/>
                <w:lang w:val="en-US"/>
              </w:rPr>
              <m:t>c</m:t>
            </m:r>
          </m:sub>
        </m:sSub>
      </m:oMath>
      <w:r w:rsidRPr="007D50F0">
        <w:rPr>
          <w:b/>
          <w:bCs/>
          <w:color w:val="222222"/>
          <w:sz w:val="20"/>
          <w:szCs w:val="20"/>
          <w:lang w:val="en-US"/>
        </w:rPr>
        <w:t xml:space="preserve"> SUPERCONDUCTIVITY IN UNDERDOPED AND OPTIMALLY DOPED CUPRATES</w:t>
      </w:r>
    </w:p>
    <w:p w14:paraId="02729FC0" w14:textId="77777777" w:rsidR="007D50F0" w:rsidRPr="00327F95" w:rsidRDefault="007D50F0" w:rsidP="007D50F0">
      <w:pPr>
        <w:pStyle w:val="a4"/>
        <w:spacing w:before="0" w:beforeAutospacing="0" w:after="0" w:afterAutospacing="0"/>
        <w:jc w:val="center"/>
        <w:rPr>
          <w:color w:val="222222"/>
          <w:sz w:val="20"/>
          <w:szCs w:val="20"/>
          <w:lang w:val="en-US"/>
        </w:rPr>
      </w:pPr>
    </w:p>
    <w:p w14:paraId="4F1F1BFE" w14:textId="77777777" w:rsidR="007D50F0" w:rsidRPr="00327F95" w:rsidRDefault="007D50F0" w:rsidP="007D50F0">
      <w:pPr>
        <w:pStyle w:val="a4"/>
        <w:spacing w:before="0" w:beforeAutospacing="0" w:after="0" w:afterAutospacing="0"/>
        <w:jc w:val="center"/>
        <w:rPr>
          <w:sz w:val="20"/>
          <w:szCs w:val="20"/>
          <w:lang w:val="en-US"/>
        </w:rPr>
      </w:pPr>
    </w:p>
    <w:p w14:paraId="588BC336" w14:textId="0FA71D78" w:rsidR="000D37FA" w:rsidRPr="00C8623C" w:rsidRDefault="00000000" w:rsidP="007D50F0">
      <w:pPr>
        <w:jc w:val="center"/>
        <w:rPr>
          <w:rFonts w:ascii="Times New Roman" w:hAnsi="Times New Roman" w:cs="Times New Roman"/>
          <w:bCs/>
          <w:i/>
          <w:iCs/>
          <w:sz w:val="20"/>
          <w:szCs w:val="20"/>
          <w:lang w:val="en-US"/>
        </w:rPr>
      </w:pPr>
      <w:r w:rsidRPr="00C8623C">
        <w:rPr>
          <w:rFonts w:ascii="Times New Roman" w:hAnsi="Times New Roman" w:cs="Times New Roman"/>
          <w:bCs/>
          <w:i/>
          <w:iCs/>
          <w:sz w:val="20"/>
          <w:szCs w:val="20"/>
        </w:rPr>
        <w:t>Kurbanov</w:t>
      </w:r>
      <w:r w:rsidR="005B06C2" w:rsidRPr="005B06C2">
        <w:rPr>
          <w:rFonts w:ascii="Times New Roman" w:hAnsi="Times New Roman" w:cs="Times New Roman"/>
          <w:bCs/>
          <w:i/>
          <w:iCs/>
          <w:sz w:val="20"/>
          <w:szCs w:val="20"/>
        </w:rPr>
        <w:t xml:space="preserve"> </w:t>
      </w:r>
      <w:r w:rsidR="005B06C2" w:rsidRPr="00C8623C">
        <w:rPr>
          <w:rFonts w:ascii="Times New Roman" w:hAnsi="Times New Roman" w:cs="Times New Roman"/>
          <w:bCs/>
          <w:i/>
          <w:iCs/>
          <w:sz w:val="20"/>
          <w:szCs w:val="20"/>
        </w:rPr>
        <w:t>U.T.</w:t>
      </w:r>
      <w:r w:rsidRPr="00C8623C">
        <w:rPr>
          <w:rFonts w:ascii="Times New Roman" w:hAnsi="Times New Roman" w:cs="Times New Roman"/>
          <w:bCs/>
          <w:i/>
          <w:iCs/>
          <w:sz w:val="20"/>
          <w:szCs w:val="20"/>
          <w:vertAlign w:val="superscript"/>
        </w:rPr>
        <w:t>1,2</w:t>
      </w:r>
      <w:r w:rsidRPr="00C8623C">
        <w:rPr>
          <w:rFonts w:ascii="Times New Roman" w:hAnsi="Times New Roman" w:cs="Times New Roman"/>
          <w:bCs/>
          <w:i/>
          <w:iCs/>
          <w:sz w:val="20"/>
          <w:szCs w:val="20"/>
        </w:rPr>
        <w:t>, Zhumabaeva</w:t>
      </w:r>
      <w:r w:rsidR="005B06C2" w:rsidRPr="005B06C2">
        <w:rPr>
          <w:rFonts w:ascii="Times New Roman" w:hAnsi="Times New Roman" w:cs="Times New Roman"/>
          <w:bCs/>
          <w:i/>
          <w:iCs/>
          <w:sz w:val="20"/>
          <w:szCs w:val="20"/>
        </w:rPr>
        <w:t xml:space="preserve"> </w:t>
      </w:r>
      <w:r w:rsidR="005B06C2" w:rsidRPr="00C8623C">
        <w:rPr>
          <w:rFonts w:ascii="Times New Roman" w:hAnsi="Times New Roman" w:cs="Times New Roman"/>
          <w:bCs/>
          <w:i/>
          <w:iCs/>
          <w:sz w:val="20"/>
          <w:szCs w:val="20"/>
        </w:rPr>
        <w:t>G. K.</w:t>
      </w:r>
      <w:r w:rsidRPr="00C8623C">
        <w:rPr>
          <w:rFonts w:ascii="Times New Roman" w:hAnsi="Times New Roman" w:cs="Times New Roman"/>
          <w:bCs/>
          <w:i/>
          <w:iCs/>
          <w:sz w:val="20"/>
          <w:szCs w:val="20"/>
          <w:vertAlign w:val="superscript"/>
        </w:rPr>
        <w:t>1</w:t>
      </w:r>
      <w:r w:rsidRPr="00C8623C">
        <w:rPr>
          <w:rFonts w:ascii="Times New Roman" w:hAnsi="Times New Roman" w:cs="Times New Roman"/>
          <w:bCs/>
          <w:i/>
          <w:iCs/>
          <w:sz w:val="20"/>
          <w:szCs w:val="20"/>
        </w:rPr>
        <w:t>, Dzhumanov</w:t>
      </w:r>
      <w:r w:rsidR="005B06C2" w:rsidRPr="005B06C2">
        <w:rPr>
          <w:rFonts w:ascii="Times New Roman" w:hAnsi="Times New Roman" w:cs="Times New Roman"/>
          <w:bCs/>
          <w:i/>
          <w:iCs/>
          <w:sz w:val="20"/>
          <w:szCs w:val="20"/>
        </w:rPr>
        <w:t xml:space="preserve"> </w:t>
      </w:r>
      <w:r w:rsidR="005B06C2" w:rsidRPr="00C8623C">
        <w:rPr>
          <w:rFonts w:ascii="Times New Roman" w:hAnsi="Times New Roman" w:cs="Times New Roman"/>
          <w:bCs/>
          <w:i/>
          <w:iCs/>
          <w:sz w:val="20"/>
          <w:szCs w:val="20"/>
        </w:rPr>
        <w:t>S.</w:t>
      </w:r>
      <w:r w:rsidRPr="00C8623C">
        <w:rPr>
          <w:rFonts w:ascii="Times New Roman" w:hAnsi="Times New Roman" w:cs="Times New Roman"/>
          <w:bCs/>
          <w:i/>
          <w:iCs/>
          <w:sz w:val="20"/>
          <w:szCs w:val="20"/>
          <w:vertAlign w:val="superscript"/>
        </w:rPr>
        <w:t>1</w:t>
      </w:r>
      <w:r w:rsidRPr="00C8623C">
        <w:rPr>
          <w:rFonts w:ascii="Times New Roman" w:hAnsi="Times New Roman" w:cs="Times New Roman"/>
          <w:bCs/>
          <w:i/>
          <w:iCs/>
          <w:sz w:val="20"/>
          <w:szCs w:val="20"/>
          <w:lang w:val="en-US"/>
        </w:rPr>
        <w:t>, Rashidov</w:t>
      </w:r>
      <w:r w:rsidR="005B06C2" w:rsidRPr="005B06C2">
        <w:rPr>
          <w:rFonts w:ascii="Times New Roman" w:hAnsi="Times New Roman" w:cs="Times New Roman"/>
          <w:bCs/>
          <w:i/>
          <w:iCs/>
          <w:sz w:val="20"/>
          <w:szCs w:val="20"/>
          <w:lang w:val="en-US"/>
        </w:rPr>
        <w:t xml:space="preserve"> </w:t>
      </w:r>
      <w:r w:rsidR="005B06C2" w:rsidRPr="00C8623C">
        <w:rPr>
          <w:rFonts w:ascii="Times New Roman" w:hAnsi="Times New Roman" w:cs="Times New Roman"/>
          <w:bCs/>
          <w:i/>
          <w:iCs/>
          <w:sz w:val="20"/>
          <w:szCs w:val="20"/>
          <w:lang w:val="en-US"/>
        </w:rPr>
        <w:t>J.Sh.</w:t>
      </w:r>
      <w:r w:rsidRPr="00C8623C">
        <w:rPr>
          <w:rFonts w:ascii="Times New Roman" w:hAnsi="Times New Roman" w:cs="Times New Roman"/>
          <w:bCs/>
          <w:i/>
          <w:iCs/>
          <w:sz w:val="20"/>
          <w:szCs w:val="20"/>
          <w:vertAlign w:val="superscript"/>
          <w:lang w:val="en-US"/>
        </w:rPr>
        <w:t>1</w:t>
      </w:r>
    </w:p>
    <w:p w14:paraId="04CCCEC1" w14:textId="77777777" w:rsidR="000D37FA" w:rsidRPr="00327F95" w:rsidRDefault="000D37FA" w:rsidP="007D50F0">
      <w:pPr>
        <w:jc w:val="center"/>
        <w:rPr>
          <w:rFonts w:ascii="Times New Roman" w:hAnsi="Times New Roman" w:cs="Times New Roman"/>
          <w:bCs/>
          <w:iCs/>
          <w:sz w:val="20"/>
          <w:szCs w:val="20"/>
          <w:lang w:eastAsia="ru-RU"/>
        </w:rPr>
      </w:pPr>
    </w:p>
    <w:p w14:paraId="4BD4ECAB" w14:textId="77777777" w:rsidR="007D50F0" w:rsidRDefault="00000000" w:rsidP="007D50F0">
      <w:pPr>
        <w:autoSpaceDE w:val="0"/>
        <w:autoSpaceDN w:val="0"/>
        <w:adjustRightInd w:val="0"/>
        <w:jc w:val="center"/>
        <w:rPr>
          <w:rFonts w:ascii="Times New Roman" w:hAnsi="Times New Roman" w:cs="Times New Roman"/>
          <w:sz w:val="20"/>
          <w:szCs w:val="20"/>
          <w:lang w:val="en-US"/>
        </w:rPr>
      </w:pPr>
      <w:r w:rsidRPr="007D50F0">
        <w:rPr>
          <w:rFonts w:ascii="Times New Roman" w:hAnsi="Times New Roman" w:cs="Times New Roman"/>
          <w:sz w:val="20"/>
          <w:szCs w:val="20"/>
          <w:vertAlign w:val="superscript"/>
        </w:rPr>
        <w:t>1</w:t>
      </w:r>
      <w:r w:rsidRPr="007D50F0">
        <w:rPr>
          <w:rFonts w:ascii="Times New Roman" w:hAnsi="Times New Roman" w:cs="Times New Roman"/>
          <w:sz w:val="20"/>
          <w:szCs w:val="20"/>
        </w:rPr>
        <w:t>Institute of Nuclear Physics, Uzbek Academy of Sciences</w:t>
      </w:r>
      <w:r w:rsidR="007D50F0">
        <w:rPr>
          <w:rFonts w:ascii="Times New Roman" w:hAnsi="Times New Roman" w:cs="Times New Roman"/>
          <w:sz w:val="20"/>
          <w:szCs w:val="20"/>
          <w:lang w:val="en-US"/>
        </w:rPr>
        <w:t xml:space="preserve"> </w:t>
      </w:r>
      <w:r w:rsidRPr="007D50F0">
        <w:rPr>
          <w:rFonts w:ascii="Times New Roman" w:hAnsi="Times New Roman" w:cs="Times New Roman"/>
          <w:sz w:val="20"/>
          <w:szCs w:val="20"/>
        </w:rPr>
        <w:t xml:space="preserve">Ulugbek, Tashkent 100214, Uzbekistan; </w:t>
      </w:r>
    </w:p>
    <w:p w14:paraId="5202108D" w14:textId="414E639A" w:rsidR="000D37FA" w:rsidRPr="007D50F0" w:rsidRDefault="00000000" w:rsidP="007D50F0">
      <w:pPr>
        <w:autoSpaceDE w:val="0"/>
        <w:autoSpaceDN w:val="0"/>
        <w:adjustRightInd w:val="0"/>
        <w:jc w:val="center"/>
        <w:rPr>
          <w:rFonts w:ascii="Times New Roman" w:hAnsi="Times New Roman" w:cs="Times New Roman"/>
          <w:sz w:val="20"/>
          <w:szCs w:val="20"/>
          <w:lang w:val="en-US" w:eastAsia="zh-TW"/>
        </w:rPr>
      </w:pPr>
      <w:r w:rsidRPr="007D50F0">
        <w:rPr>
          <w:rFonts w:ascii="Times New Roman" w:hAnsi="Times New Roman" w:cs="Times New Roman"/>
          <w:sz w:val="20"/>
          <w:szCs w:val="20"/>
        </w:rPr>
        <w:t>e-mail:</w:t>
      </w:r>
      <w:r w:rsidR="007D50F0">
        <w:rPr>
          <w:rFonts w:ascii="Times New Roman" w:hAnsi="Times New Roman" w:cs="Times New Roman"/>
          <w:sz w:val="20"/>
          <w:szCs w:val="20"/>
          <w:lang w:val="en-US"/>
        </w:rPr>
        <w:t xml:space="preserve"> </w:t>
      </w:r>
      <w:hyperlink r:id="rId5" w:history="1">
        <w:r w:rsidRPr="007D50F0">
          <w:rPr>
            <w:rStyle w:val="a3"/>
            <w:rFonts w:ascii="Times New Roman" w:hAnsi="Times New Roman" w:cs="Times New Roman"/>
            <w:color w:val="auto"/>
            <w:sz w:val="20"/>
            <w:szCs w:val="20"/>
          </w:rPr>
          <w:t>ukurbanov@inp.uz</w:t>
        </w:r>
      </w:hyperlink>
      <w:r w:rsidR="007D50F0">
        <w:rPr>
          <w:rStyle w:val="a3"/>
          <w:rFonts w:ascii="Times New Roman" w:hAnsi="Times New Roman" w:cs="Times New Roman"/>
          <w:color w:val="auto"/>
          <w:sz w:val="20"/>
          <w:szCs w:val="20"/>
          <w:lang w:val="en-US"/>
        </w:rPr>
        <w:t xml:space="preserve"> </w:t>
      </w:r>
    </w:p>
    <w:p w14:paraId="5E11B436" w14:textId="72D7877B" w:rsidR="000D37FA" w:rsidRPr="007D50F0" w:rsidRDefault="00000000" w:rsidP="007D50F0">
      <w:pPr>
        <w:pStyle w:val="EuPhTJAuthorAffiliation"/>
        <w:rPr>
          <w:rFonts w:ascii="Times New Roman" w:hAnsi="Times New Roman"/>
          <w:sz w:val="20"/>
          <w:szCs w:val="20"/>
          <w:lang w:val="en-US"/>
        </w:rPr>
      </w:pPr>
      <w:r w:rsidRPr="007D50F0">
        <w:rPr>
          <w:rFonts w:ascii="Times New Roman" w:hAnsi="Times New Roman"/>
          <w:sz w:val="20"/>
          <w:szCs w:val="20"/>
          <w:vertAlign w:val="superscript"/>
          <w:lang w:eastAsia="zh-TW"/>
        </w:rPr>
        <w:t>2</w:t>
      </w:r>
      <w:r w:rsidRPr="007D50F0">
        <w:rPr>
          <w:rFonts w:ascii="Times New Roman" w:hAnsi="Times New Roman"/>
          <w:sz w:val="20"/>
          <w:szCs w:val="20"/>
          <w:lang w:eastAsia="zh-TW"/>
        </w:rPr>
        <w:t xml:space="preserve">Tashkent State Technical University named after Islam Karimov, </w:t>
      </w:r>
      <w:r w:rsidRPr="007D50F0">
        <w:rPr>
          <w:rFonts w:ascii="Times New Roman" w:hAnsi="Times New Roman"/>
          <w:sz w:val="20"/>
          <w:szCs w:val="20"/>
        </w:rPr>
        <w:t>Tashkent 100095, Uzbekistan</w:t>
      </w:r>
    </w:p>
    <w:p w14:paraId="22A98D06" w14:textId="77777777" w:rsidR="007D50F0" w:rsidRDefault="007D50F0" w:rsidP="007D50F0">
      <w:pPr>
        <w:pStyle w:val="a4"/>
        <w:spacing w:before="0" w:beforeAutospacing="0" w:after="0" w:afterAutospacing="0"/>
        <w:ind w:firstLine="706"/>
        <w:jc w:val="both"/>
        <w:rPr>
          <w:color w:val="222222"/>
          <w:sz w:val="20"/>
          <w:szCs w:val="20"/>
          <w:lang w:val="en-US"/>
        </w:rPr>
      </w:pPr>
    </w:p>
    <w:p w14:paraId="0EE4FC17" w14:textId="77777777" w:rsidR="007D50F0" w:rsidRDefault="007D50F0" w:rsidP="007D50F0">
      <w:pPr>
        <w:pStyle w:val="a4"/>
        <w:spacing w:before="0" w:beforeAutospacing="0" w:after="0" w:afterAutospacing="0"/>
        <w:ind w:firstLine="706"/>
        <w:jc w:val="both"/>
        <w:rPr>
          <w:color w:val="222222"/>
          <w:sz w:val="20"/>
          <w:szCs w:val="20"/>
          <w:lang w:val="en-US"/>
        </w:rPr>
      </w:pPr>
    </w:p>
    <w:p w14:paraId="093D778C" w14:textId="0390AA58" w:rsidR="000D37FA" w:rsidRPr="007D50F0" w:rsidRDefault="00000000" w:rsidP="00E143D7">
      <w:pPr>
        <w:pStyle w:val="a4"/>
        <w:spacing w:before="0" w:beforeAutospacing="0" w:after="0" w:afterAutospacing="0"/>
        <w:ind w:firstLine="706"/>
        <w:jc w:val="both"/>
        <w:rPr>
          <w:color w:val="222222"/>
          <w:sz w:val="20"/>
          <w:szCs w:val="20"/>
          <w:lang w:val="en-US"/>
        </w:rPr>
      </w:pPr>
      <w:r w:rsidRPr="007D50F0">
        <w:rPr>
          <w:color w:val="222222"/>
          <w:sz w:val="20"/>
          <w:szCs w:val="20"/>
          <w:lang w:val="en-US"/>
        </w:rPr>
        <w:t xml:space="preserve">Metal-insulator transitions (MITs) </w:t>
      </w:r>
      <w:r w:rsidR="000144D2">
        <w:rPr>
          <w:color w:val="222222"/>
          <w:sz w:val="20"/>
          <w:szCs w:val="20"/>
          <w:lang w:val="en-US"/>
        </w:rPr>
        <w:t xml:space="preserve">in undoped and doped materials </w:t>
      </w:r>
      <w:r w:rsidRPr="007D50F0">
        <w:rPr>
          <w:color w:val="222222"/>
          <w:sz w:val="20"/>
          <w:szCs w:val="20"/>
          <w:lang w:val="en-US"/>
        </w:rPr>
        <w:t>have long been a focus of condensed matter physics due to their inherent conceptual complexity, which has stimulated the development of many theories, and the possibility of controlling the (reversible) suppression of electrical conductivity in technological applications</w:t>
      </w:r>
      <w:r w:rsidRPr="007D50F0">
        <w:rPr>
          <w:color w:val="222222"/>
          <w:sz w:val="20"/>
          <w:szCs w:val="20"/>
        </w:rPr>
        <w:t>.</w:t>
      </w:r>
      <w:r w:rsidRPr="007D50F0">
        <w:rPr>
          <w:sz w:val="20"/>
          <w:szCs w:val="20"/>
        </w:rPr>
        <w:t xml:space="preserve"> </w:t>
      </w:r>
      <w:r w:rsidRPr="007D50F0">
        <w:rPr>
          <w:sz w:val="20"/>
          <w:szCs w:val="20"/>
          <w:lang w:val="en-US"/>
        </w:rPr>
        <w:t>The MITs in doped semiconductors and high-</w:t>
      </w: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c</m:t>
            </m:r>
          </m:sub>
        </m:sSub>
      </m:oMath>
      <w:r w:rsidRPr="007D50F0">
        <w:rPr>
          <w:sz w:val="20"/>
          <w:szCs w:val="20"/>
          <w:lang w:val="en-US"/>
        </w:rPr>
        <w:t xml:space="preserve"> </w:t>
      </w:r>
      <w:proofErr w:type="spellStart"/>
      <w:r w:rsidRPr="007D50F0">
        <w:rPr>
          <w:sz w:val="20"/>
          <w:szCs w:val="20"/>
          <w:lang w:val="en-US"/>
        </w:rPr>
        <w:t>cu</w:t>
      </w:r>
      <w:r w:rsidR="000144D2">
        <w:rPr>
          <w:sz w:val="20"/>
          <w:szCs w:val="20"/>
          <w:lang w:val="en-US"/>
        </w:rPr>
        <w:t>p</w:t>
      </w:r>
      <w:r w:rsidRPr="007D50F0">
        <w:rPr>
          <w:sz w:val="20"/>
          <w:szCs w:val="20"/>
          <w:lang w:val="en-US"/>
        </w:rPr>
        <w:t>rate</w:t>
      </w:r>
      <w:proofErr w:type="spellEnd"/>
      <w:r w:rsidRPr="007D50F0">
        <w:rPr>
          <w:sz w:val="20"/>
          <w:szCs w:val="20"/>
          <w:lang w:val="en-US"/>
        </w:rPr>
        <w:t xml:space="preserve"> superconductors are of particular interest</w:t>
      </w:r>
      <w:r w:rsidRPr="007D50F0">
        <w:rPr>
          <w:sz w:val="20"/>
          <w:szCs w:val="20"/>
        </w:rPr>
        <w:t>.</w:t>
      </w:r>
      <w:r w:rsidRPr="007D50F0">
        <w:rPr>
          <w:sz w:val="20"/>
          <w:szCs w:val="20"/>
          <w:lang w:val="en-US"/>
        </w:rPr>
        <w:t xml:space="preserve"> These materials at low </w:t>
      </w:r>
      <w:proofErr w:type="spellStart"/>
      <w:r w:rsidRPr="007D50F0">
        <w:rPr>
          <w:sz w:val="20"/>
          <w:szCs w:val="20"/>
          <w:lang w:val="en-US"/>
        </w:rPr>
        <w:t>dopings</w:t>
      </w:r>
      <w:proofErr w:type="spellEnd"/>
      <w:r w:rsidRPr="007D50F0">
        <w:rPr>
          <w:sz w:val="20"/>
          <w:szCs w:val="20"/>
          <w:lang w:val="en-US"/>
        </w:rPr>
        <w:t xml:space="preserve"> are insulators, but they</w:t>
      </w:r>
      <w:r w:rsidRPr="007D50F0">
        <w:rPr>
          <w:color w:val="222222"/>
          <w:sz w:val="20"/>
          <w:szCs w:val="20"/>
        </w:rPr>
        <w:t xml:space="preserve"> </w:t>
      </w:r>
      <w:r w:rsidRPr="007D50F0">
        <w:rPr>
          <w:color w:val="222222"/>
          <w:sz w:val="20"/>
          <w:szCs w:val="20"/>
          <w:lang w:val="en-US"/>
        </w:rPr>
        <w:t>contain</w:t>
      </w:r>
      <w:r w:rsidRPr="007D50F0">
        <w:rPr>
          <w:color w:val="222222"/>
          <w:sz w:val="20"/>
          <w:szCs w:val="20"/>
        </w:rPr>
        <w:t xml:space="preserve"> two opposite phases</w:t>
      </w:r>
      <w:r w:rsidRPr="007D50F0">
        <w:rPr>
          <w:color w:val="222222"/>
          <w:sz w:val="20"/>
          <w:szCs w:val="20"/>
          <w:lang w:val="en-US"/>
        </w:rPr>
        <w:t>:</w:t>
      </w:r>
      <w:r w:rsidRPr="007D50F0">
        <w:rPr>
          <w:sz w:val="20"/>
          <w:szCs w:val="20"/>
        </w:rPr>
        <w:t xml:space="preserve"> </w:t>
      </w:r>
      <w:r w:rsidRPr="007D50F0">
        <w:rPr>
          <w:sz w:val="20"/>
          <w:szCs w:val="20"/>
          <w:lang w:val="en-US"/>
        </w:rPr>
        <w:t xml:space="preserve">the </w:t>
      </w:r>
      <w:r w:rsidRPr="007D50F0">
        <w:rPr>
          <w:color w:val="222222"/>
          <w:sz w:val="20"/>
          <w:szCs w:val="20"/>
          <w:lang w:val="en-US"/>
        </w:rPr>
        <w:t>metal phase consisting of mobile charge carriers (free electrons or holes and large polarons) and the insulating phase consisting of locali</w:t>
      </w:r>
      <w:r w:rsidR="00210CE7">
        <w:rPr>
          <w:color w:val="222222"/>
          <w:sz w:val="20"/>
          <w:szCs w:val="20"/>
          <w:lang w:val="en-US"/>
        </w:rPr>
        <w:t>z</w:t>
      </w:r>
      <w:r w:rsidRPr="007D50F0">
        <w:rPr>
          <w:color w:val="222222"/>
          <w:sz w:val="20"/>
          <w:szCs w:val="20"/>
          <w:lang w:val="en-US"/>
        </w:rPr>
        <w:t>ed (immobile) charge carriers.</w:t>
      </w:r>
      <w:r w:rsidRPr="007D50F0">
        <w:rPr>
          <w:sz w:val="20"/>
          <w:szCs w:val="20"/>
        </w:rPr>
        <w:t xml:space="preserve"> In the simplest scenario, metal</w:t>
      </w:r>
      <w:r w:rsidRPr="007D50F0">
        <w:rPr>
          <w:sz w:val="20"/>
          <w:szCs w:val="20"/>
          <w:lang w:val="en-US"/>
        </w:rPr>
        <w:t>-</w:t>
      </w:r>
      <w:r w:rsidRPr="007D50F0">
        <w:rPr>
          <w:sz w:val="20"/>
          <w:szCs w:val="20"/>
        </w:rPr>
        <w:t>insulator</w:t>
      </w:r>
      <w:r w:rsidRPr="007D50F0">
        <w:rPr>
          <w:sz w:val="20"/>
          <w:szCs w:val="20"/>
          <w:lang w:val="en-US"/>
        </w:rPr>
        <w:t xml:space="preserve"> transition</w:t>
      </w:r>
      <w:r w:rsidRPr="007D50F0">
        <w:rPr>
          <w:sz w:val="20"/>
          <w:szCs w:val="20"/>
        </w:rPr>
        <w:t xml:space="preserve">s can be distinguished </w:t>
      </w:r>
      <w:r w:rsidRPr="007D50F0">
        <w:rPr>
          <w:sz w:val="20"/>
          <w:szCs w:val="20"/>
          <w:lang w:val="en-US"/>
        </w:rPr>
        <w:t>based on</w:t>
      </w:r>
      <w:r w:rsidRPr="007D50F0">
        <w:rPr>
          <w:sz w:val="20"/>
          <w:szCs w:val="20"/>
        </w:rPr>
        <w:t xml:space="preserve"> the Wilson</w:t>
      </w:r>
      <w:r w:rsidRPr="007D50F0">
        <w:rPr>
          <w:sz w:val="20"/>
          <w:szCs w:val="20"/>
          <w:lang w:val="en-US"/>
        </w:rPr>
        <w:t>s</w:t>
      </w:r>
      <w:r w:rsidRPr="007D50F0">
        <w:rPr>
          <w:sz w:val="20"/>
          <w:szCs w:val="20"/>
        </w:rPr>
        <w:t xml:space="preserve"> picture </w:t>
      </w:r>
      <w:r w:rsidRPr="007D50F0">
        <w:rPr>
          <w:sz w:val="20"/>
          <w:szCs w:val="20"/>
          <w:lang w:val="en-US"/>
        </w:rPr>
        <w:t>of</w:t>
      </w:r>
      <w:r w:rsidRPr="007D50F0">
        <w:rPr>
          <w:sz w:val="20"/>
          <w:szCs w:val="20"/>
        </w:rPr>
        <w:t xml:space="preserve"> the filling of electronic bands [</w:t>
      </w:r>
      <w:r w:rsidRPr="007D50F0">
        <w:rPr>
          <w:sz w:val="20"/>
          <w:szCs w:val="20"/>
          <w:lang w:val="en-US"/>
        </w:rPr>
        <w:t>1</w:t>
      </w:r>
      <w:r w:rsidRPr="007D50F0">
        <w:rPr>
          <w:sz w:val="20"/>
          <w:szCs w:val="20"/>
        </w:rPr>
        <w:t xml:space="preserve">]. </w:t>
      </w:r>
      <w:r w:rsidRPr="007D50F0">
        <w:rPr>
          <w:color w:val="222222"/>
          <w:sz w:val="20"/>
          <w:szCs w:val="20"/>
        </w:rPr>
        <w:t xml:space="preserve">Wilson's approach predicts the insulating properties of fully filled/empty </w:t>
      </w:r>
      <w:r w:rsidRPr="007D50F0">
        <w:rPr>
          <w:i/>
          <w:iCs/>
          <w:color w:val="222222"/>
          <w:sz w:val="20"/>
          <w:szCs w:val="20"/>
        </w:rPr>
        <w:t>d</w:t>
      </w:r>
      <w:r w:rsidRPr="007D50F0">
        <w:rPr>
          <w:color w:val="222222"/>
          <w:sz w:val="20"/>
          <w:szCs w:val="20"/>
        </w:rPr>
        <w:t xml:space="preserve">-band transition metal oxides. However, for partially-filled </w:t>
      </w:r>
      <w:r w:rsidRPr="007D50F0">
        <w:rPr>
          <w:i/>
          <w:iCs/>
          <w:color w:val="222222"/>
          <w:sz w:val="20"/>
          <w:szCs w:val="20"/>
        </w:rPr>
        <w:t>d</w:t>
      </w:r>
      <w:r w:rsidRPr="007D50F0">
        <w:rPr>
          <w:color w:val="222222"/>
          <w:sz w:val="20"/>
          <w:szCs w:val="20"/>
        </w:rPr>
        <w:t>-band transition metal oxides</w:t>
      </w:r>
      <w:r w:rsidRPr="007D50F0">
        <w:rPr>
          <w:color w:val="222222"/>
          <w:sz w:val="20"/>
          <w:szCs w:val="20"/>
          <w:lang w:val="en-US"/>
        </w:rPr>
        <w:t xml:space="preserve"> (especially for high-</w:t>
      </w:r>
      <m:oMath>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c</m:t>
            </m:r>
          </m:sub>
        </m:sSub>
      </m:oMath>
      <w:r w:rsidRPr="007D50F0">
        <w:rPr>
          <w:color w:val="222222"/>
          <w:sz w:val="20"/>
          <w:szCs w:val="20"/>
          <w:lang w:val="en-US"/>
        </w:rPr>
        <w:t xml:space="preserve"> superconducting cuprates)</w:t>
      </w:r>
      <w:r w:rsidRPr="007D50F0">
        <w:rPr>
          <w:color w:val="222222"/>
          <w:sz w:val="20"/>
          <w:szCs w:val="20"/>
        </w:rPr>
        <w:t>, th</w:t>
      </w:r>
      <w:r w:rsidRPr="007D50F0">
        <w:rPr>
          <w:color w:val="222222"/>
          <w:sz w:val="20"/>
          <w:szCs w:val="20"/>
          <w:lang w:val="en-US"/>
        </w:rPr>
        <w:t>is</w:t>
      </w:r>
      <w:r w:rsidRPr="007D50F0">
        <w:rPr>
          <w:color w:val="222222"/>
          <w:sz w:val="20"/>
          <w:szCs w:val="20"/>
        </w:rPr>
        <w:t xml:space="preserve"> approach is inadequate</w:t>
      </w:r>
      <w:r w:rsidRPr="007D50F0">
        <w:rPr>
          <w:color w:val="222222"/>
          <w:sz w:val="20"/>
          <w:szCs w:val="20"/>
          <w:lang w:val="en-US"/>
        </w:rPr>
        <w:t xml:space="preserve"> </w:t>
      </w:r>
      <w:r w:rsidRPr="007D50F0">
        <w:rPr>
          <w:color w:val="222222"/>
          <w:sz w:val="20"/>
          <w:szCs w:val="20"/>
        </w:rPr>
        <w:t>[</w:t>
      </w:r>
      <w:r w:rsidRPr="007D50F0">
        <w:rPr>
          <w:color w:val="222222"/>
          <w:sz w:val="20"/>
          <w:szCs w:val="20"/>
          <w:lang w:val="en-US"/>
        </w:rPr>
        <w:t>2</w:t>
      </w:r>
      <w:r w:rsidRPr="007D50F0">
        <w:rPr>
          <w:color w:val="222222"/>
          <w:sz w:val="20"/>
          <w:szCs w:val="20"/>
        </w:rPr>
        <w:t>].</w:t>
      </w:r>
      <w:r w:rsidRPr="007D50F0">
        <w:rPr>
          <w:color w:val="222222"/>
          <w:sz w:val="20"/>
          <w:szCs w:val="20"/>
          <w:lang w:val="en-US"/>
        </w:rPr>
        <w:t xml:space="preserve"> One of the seminal works of Mott resolved this limitation by considering the effect of electron-electron correlation and formulated the criterion f</w:t>
      </w:r>
      <w:r w:rsidR="00210CE7">
        <w:rPr>
          <w:color w:val="222222"/>
          <w:sz w:val="20"/>
          <w:szCs w:val="20"/>
          <w:lang w:val="en-US"/>
        </w:rPr>
        <w:t>o</w:t>
      </w:r>
      <w:r w:rsidRPr="007D50F0">
        <w:rPr>
          <w:color w:val="222222"/>
          <w:sz w:val="20"/>
          <w:szCs w:val="20"/>
          <w:lang w:val="en-US"/>
        </w:rPr>
        <w:t>r the Mott metal-insulator transition in solids, which was a subject of intense research during many decades [3]. After that, several mechanisms that localize conducting electrons and lead to the MITs were proposed. The most prevalent ones are the Mott–Hubbard (caused by an electron–electron correlation) and Anderson (caused by a disorder) mechanisms [4].</w:t>
      </w:r>
      <w:r w:rsidRPr="007D50F0">
        <w:rPr>
          <w:sz w:val="20"/>
          <w:szCs w:val="20"/>
        </w:rPr>
        <w:t xml:space="preserve"> </w:t>
      </w:r>
      <w:r w:rsidRPr="007D50F0">
        <w:rPr>
          <w:color w:val="222222"/>
          <w:sz w:val="20"/>
          <w:szCs w:val="20"/>
          <w:lang w:val="en-US"/>
        </w:rPr>
        <w:t>The Mott</w:t>
      </w:r>
      <w:r w:rsidR="00210CE7">
        <w:rPr>
          <w:color w:val="222222"/>
          <w:sz w:val="20"/>
          <w:szCs w:val="20"/>
          <w:lang w:val="en-US"/>
        </w:rPr>
        <w:t>-</w:t>
      </w:r>
      <w:r w:rsidRPr="007D50F0">
        <w:rPr>
          <w:color w:val="222222"/>
          <w:sz w:val="20"/>
          <w:szCs w:val="20"/>
          <w:lang w:val="en-US"/>
        </w:rPr>
        <w:t xml:space="preserve"> and Anderson-type metal-insulator transitions were discussed as the basic mechanisms of the localization of charge carriers in crystalline and non-crystalline solids [</w:t>
      </w:r>
      <w:r w:rsidR="00210CE7">
        <w:rPr>
          <w:color w:val="222222"/>
          <w:sz w:val="20"/>
          <w:szCs w:val="20"/>
          <w:lang w:val="en-US"/>
        </w:rPr>
        <w:t>4,</w:t>
      </w:r>
      <w:r w:rsidRPr="007D50F0">
        <w:rPr>
          <w:color w:val="222222"/>
          <w:sz w:val="20"/>
          <w:szCs w:val="20"/>
          <w:lang w:val="en-US"/>
        </w:rPr>
        <w:t xml:space="preserve">5,6,7]. </w:t>
      </w:r>
    </w:p>
    <w:p w14:paraId="161FF507" w14:textId="2CE8981D" w:rsidR="000D37FA" w:rsidRPr="007D50F0" w:rsidRDefault="00000000" w:rsidP="007D50F0">
      <w:pPr>
        <w:ind w:firstLine="709"/>
        <w:jc w:val="both"/>
        <w:rPr>
          <w:rFonts w:ascii="Times New Roman" w:eastAsiaTheme="minorEastAsia" w:hAnsi="Times New Roman" w:cs="Times New Roman"/>
          <w:sz w:val="20"/>
          <w:szCs w:val="20"/>
        </w:rPr>
      </w:pPr>
      <w:r w:rsidRPr="007D50F0">
        <w:rPr>
          <w:rFonts w:ascii="Times New Roman" w:eastAsiaTheme="minorEastAsia" w:hAnsi="Times New Roman" w:cs="Times New Roman"/>
          <w:sz w:val="20"/>
          <w:szCs w:val="20"/>
          <w:lang w:val="en-US"/>
        </w:rPr>
        <w:t>In this work w</w:t>
      </w:r>
      <w:r w:rsidRPr="007D50F0">
        <w:rPr>
          <w:rFonts w:ascii="Times New Roman" w:eastAsiaTheme="minorEastAsia" w:hAnsi="Times New Roman" w:cs="Times New Roman"/>
          <w:sz w:val="20"/>
          <w:szCs w:val="20"/>
        </w:rPr>
        <w:t xml:space="preserve">e develop a new approach to the metal/superconductor-insulator transition in doped cuprates by studying the polaron formation in them and the possibility of transforming a metallic or superconducting system into an insulator. We examine the possible effects of the different disorders (e.g. polaron formation and charge-density-wave (CDW) transition) and the </w:t>
      </w:r>
      <w:r w:rsidRPr="007D50F0">
        <w:rPr>
          <w:rFonts w:ascii="Times New Roman" w:eastAsiaTheme="minorEastAsia" w:hAnsi="Times New Roman" w:cs="Times New Roman"/>
          <w:sz w:val="20"/>
          <w:szCs w:val="20"/>
          <w:lang w:val="en-US"/>
        </w:rPr>
        <w:t>competing</w:t>
      </w:r>
      <w:r w:rsidRPr="007D50F0">
        <w:rPr>
          <w:rFonts w:ascii="Times New Roman" w:eastAsiaTheme="minorEastAsia" w:hAnsi="Times New Roman" w:cs="Times New Roman"/>
          <w:sz w:val="20"/>
          <w:szCs w:val="20"/>
        </w:rPr>
        <w:t xml:space="preserve"> insulating and superconducting phases on the critical temperature </w:t>
      </w:r>
      <m:oMath>
        <m:sSub>
          <m:sSubPr>
            <m:ctrlPr>
              <w:rPr>
                <w:rFonts w:ascii="Cambria Math" w:eastAsia="Times New Roman" w:hAnsi="Cambria Math" w:cs="Times New Roman"/>
                <w:i/>
                <w:kern w:val="0"/>
                <w:sz w:val="20"/>
                <w:szCs w:val="20"/>
                <w:lang w:val="en-US" w:eastAsia="ru-RU"/>
                <w14:ligatures w14:val="none"/>
              </w:rPr>
            </m:ctrlPr>
          </m:sSubPr>
          <m:e>
            <m:r>
              <w:rPr>
                <w:rFonts w:ascii="Cambria Math" w:hAnsi="Cambria Math"/>
                <w:sz w:val="20"/>
                <w:szCs w:val="20"/>
                <w:lang w:val="en-US"/>
              </w:rPr>
              <m:t>T</m:t>
            </m:r>
          </m:e>
          <m:sub>
            <m:r>
              <w:rPr>
                <w:rFonts w:ascii="Cambria Math" w:hAnsi="Cambria Math"/>
                <w:sz w:val="20"/>
                <w:szCs w:val="20"/>
                <w:lang w:val="en-US"/>
              </w:rPr>
              <m:t>c</m:t>
            </m:r>
          </m:sub>
        </m:sSub>
      </m:oMath>
      <w:r w:rsidRPr="007D50F0">
        <w:rPr>
          <w:rFonts w:ascii="Times New Roman" w:eastAsiaTheme="minorEastAsia" w:hAnsi="Times New Roman" w:cs="Times New Roman"/>
          <w:sz w:val="20"/>
          <w:szCs w:val="20"/>
        </w:rPr>
        <w:t xml:space="preserve"> of the superconducting transition </w:t>
      </w:r>
      <w:r w:rsidRPr="007D50F0">
        <w:rPr>
          <w:rFonts w:ascii="Times New Roman" w:eastAsiaTheme="minorEastAsia" w:hAnsi="Times New Roman" w:cs="Times New Roman"/>
          <w:sz w:val="20"/>
          <w:szCs w:val="20"/>
          <w:lang w:val="en-US"/>
        </w:rPr>
        <w:t xml:space="preserve">in </w:t>
      </w:r>
      <w:r w:rsidRPr="007D50F0">
        <w:rPr>
          <w:rFonts w:ascii="Times New Roman" w:eastAsiaTheme="minorEastAsia" w:hAnsi="Times New Roman" w:cs="Times New Roman"/>
          <w:sz w:val="20"/>
          <w:szCs w:val="20"/>
        </w:rPr>
        <w:t xml:space="preserve">underdoped and optimally doped cuprates. We determine the actual superconducting transition temperature </w:t>
      </w:r>
      <m:oMath>
        <m:sSub>
          <m:sSubPr>
            <m:ctrlPr>
              <w:rPr>
                <w:rFonts w:ascii="Cambria Math" w:eastAsia="Times New Roman" w:hAnsi="Cambria Math" w:cs="Times New Roman"/>
                <w:i/>
                <w:kern w:val="0"/>
                <w:sz w:val="20"/>
                <w:szCs w:val="20"/>
                <w:lang w:val="en-US" w:eastAsia="ru-RU"/>
                <w14:ligatures w14:val="none"/>
              </w:rPr>
            </m:ctrlPr>
          </m:sSubPr>
          <m:e>
            <m:r>
              <w:rPr>
                <w:rFonts w:ascii="Cambria Math" w:hAnsi="Cambria Math"/>
                <w:sz w:val="20"/>
                <w:szCs w:val="20"/>
                <w:lang w:val="en-US"/>
              </w:rPr>
              <m:t>T</m:t>
            </m:r>
          </m:e>
          <m:sub>
            <m:r>
              <w:rPr>
                <w:rFonts w:ascii="Cambria Math" w:hAnsi="Cambria Math"/>
                <w:sz w:val="20"/>
                <w:szCs w:val="20"/>
                <w:lang w:val="en-US"/>
              </w:rPr>
              <m:t>c</m:t>
            </m:r>
          </m:sub>
        </m:sSub>
      </m:oMath>
      <w:r w:rsidRPr="00974EFF">
        <w:rPr>
          <w:rFonts w:ascii="Times New Roman" w:eastAsiaTheme="minorEastAsia" w:hAnsi="Times New Roman" w:cs="Times New Roman"/>
          <w:sz w:val="20"/>
          <w:szCs w:val="20"/>
        </w:rPr>
        <w:t xml:space="preserve"> </w:t>
      </w:r>
      <w:r w:rsidRPr="007D50F0">
        <w:rPr>
          <w:rFonts w:ascii="Times New Roman" w:eastAsiaTheme="minorEastAsia" w:hAnsi="Times New Roman" w:cs="Times New Roman"/>
          <w:sz w:val="20"/>
          <w:szCs w:val="20"/>
        </w:rPr>
        <w:t xml:space="preserve">in these materials using the theory of Bose-liquid superconductivity, which is capable of predicting the relevant value of </w:t>
      </w:r>
      <w:r w:rsidRPr="007D50F0">
        <w:rPr>
          <w:rFonts w:ascii="Times New Roman" w:hAnsi="Times New Roman" w:cs="Times New Roman"/>
          <w:i/>
          <w:iCs/>
          <w:sz w:val="20"/>
          <w:szCs w:val="20"/>
          <w:lang w:val="en-US"/>
        </w:rPr>
        <w:t>T</w:t>
      </w:r>
      <w:r w:rsidRPr="007D50F0">
        <w:rPr>
          <w:rFonts w:ascii="Times New Roman" w:hAnsi="Times New Roman" w:cs="Times New Roman"/>
          <w:sz w:val="20"/>
          <w:szCs w:val="20"/>
          <w:vertAlign w:val="subscript"/>
          <w:lang w:val="en-US"/>
        </w:rPr>
        <w:t>c</w:t>
      </w:r>
      <w:r w:rsidRPr="007D50F0">
        <w:rPr>
          <w:rFonts w:ascii="Times New Roman" w:eastAsiaTheme="minorEastAsia" w:hAnsi="Times New Roman" w:cs="Times New Roman"/>
          <w:sz w:val="20"/>
          <w:szCs w:val="20"/>
        </w:rPr>
        <w:t xml:space="preserve"> in high-</w:t>
      </w:r>
      <m:oMath>
        <m:sSub>
          <m:sSubPr>
            <m:ctrlPr>
              <w:rPr>
                <w:rFonts w:ascii="Cambria Math" w:eastAsia="Times New Roman" w:hAnsi="Cambria Math" w:cs="Times New Roman"/>
                <w:i/>
                <w:kern w:val="0"/>
                <w:sz w:val="20"/>
                <w:szCs w:val="20"/>
                <w:lang w:val="en-US" w:eastAsia="ru-RU"/>
                <w14:ligatures w14:val="none"/>
              </w:rPr>
            </m:ctrlPr>
          </m:sSubPr>
          <m:e>
            <m:r>
              <w:rPr>
                <w:rFonts w:ascii="Cambria Math" w:hAnsi="Cambria Math"/>
                <w:sz w:val="20"/>
                <w:szCs w:val="20"/>
                <w:lang w:val="en-US"/>
              </w:rPr>
              <m:t>T</m:t>
            </m:r>
          </m:e>
          <m:sub>
            <m:r>
              <w:rPr>
                <w:rFonts w:ascii="Cambria Math" w:hAnsi="Cambria Math"/>
                <w:sz w:val="20"/>
                <w:szCs w:val="20"/>
                <w:lang w:val="en-US"/>
              </w:rPr>
              <m:t>c</m:t>
            </m:r>
          </m:sub>
        </m:sSub>
      </m:oMath>
      <w:r w:rsidRPr="007D50F0">
        <w:rPr>
          <w:rFonts w:ascii="Times New Roman" w:eastAsiaTheme="minorEastAsia" w:hAnsi="Times New Roman" w:cs="Times New Roman"/>
          <w:sz w:val="20"/>
          <w:szCs w:val="20"/>
        </w:rPr>
        <w:t xml:space="preserve"> cuprates. We find that the suppressing of the polaronic and CDW effects in optimally doped cuprates results in the enhancement of </w:t>
      </w:r>
      <w:r w:rsidRPr="007D50F0">
        <w:rPr>
          <w:rFonts w:ascii="Times New Roman" w:hAnsi="Times New Roman" w:cs="Times New Roman"/>
          <w:i/>
          <w:iCs/>
          <w:sz w:val="20"/>
          <w:szCs w:val="20"/>
          <w:lang w:val="en-US"/>
        </w:rPr>
        <w:t>T</w:t>
      </w:r>
      <w:r w:rsidRPr="007D50F0">
        <w:rPr>
          <w:rFonts w:ascii="Times New Roman" w:hAnsi="Times New Roman" w:cs="Times New Roman"/>
          <w:sz w:val="20"/>
          <w:szCs w:val="20"/>
          <w:vertAlign w:val="subscript"/>
          <w:lang w:val="en-US"/>
        </w:rPr>
        <w:t>c</w:t>
      </w:r>
      <w:r w:rsidRPr="007D50F0">
        <w:rPr>
          <w:rFonts w:ascii="Times New Roman" w:eastAsiaTheme="minorEastAsia" w:hAnsi="Times New Roman" w:cs="Times New Roman"/>
          <w:sz w:val="20"/>
          <w:szCs w:val="20"/>
        </w:rPr>
        <w:t xml:space="preserve">, while some lattice defects (e.g., anion vacancies) in the cuprates </w:t>
      </w:r>
      <w:r w:rsidRPr="007D50F0">
        <w:rPr>
          <w:rFonts w:ascii="Times New Roman" w:eastAsiaTheme="minorEastAsia" w:hAnsi="Times New Roman" w:cs="Times New Roman"/>
          <w:sz w:val="20"/>
          <w:szCs w:val="20"/>
          <w:lang w:val="en-US"/>
        </w:rPr>
        <w:t>can</w:t>
      </w:r>
      <w:r w:rsidRPr="007D50F0">
        <w:rPr>
          <w:rFonts w:ascii="Times New Roman" w:eastAsiaTheme="minorEastAsia" w:hAnsi="Times New Roman" w:cs="Times New Roman"/>
          <w:sz w:val="20"/>
          <w:szCs w:val="20"/>
        </w:rPr>
        <w:t xml:space="preserve"> strongly affect on </w:t>
      </w:r>
      <m:oMath>
        <m:sSub>
          <m:sSubPr>
            <m:ctrlPr>
              <w:rPr>
                <w:rFonts w:ascii="Cambria Math" w:eastAsia="Times New Roman" w:hAnsi="Cambria Math" w:cs="Times New Roman"/>
                <w:i/>
                <w:kern w:val="0"/>
                <w:sz w:val="20"/>
                <w:szCs w:val="20"/>
                <w:lang w:val="en-US" w:eastAsia="ru-RU"/>
                <w14:ligatures w14:val="none"/>
              </w:rPr>
            </m:ctrlPr>
          </m:sSubPr>
          <m:e>
            <m:r>
              <w:rPr>
                <w:rFonts w:ascii="Cambria Math" w:hAnsi="Cambria Math"/>
                <w:sz w:val="20"/>
                <w:szCs w:val="20"/>
                <w:lang w:val="en-US"/>
              </w:rPr>
              <m:t>T</m:t>
            </m:r>
          </m:e>
          <m:sub>
            <m:r>
              <w:rPr>
                <w:rFonts w:ascii="Cambria Math" w:hAnsi="Cambria Math"/>
                <w:sz w:val="20"/>
                <w:szCs w:val="20"/>
                <w:lang w:val="en-US"/>
              </w:rPr>
              <m:t>c</m:t>
            </m:r>
          </m:sub>
        </m:sSub>
      </m:oMath>
      <w:r w:rsidRPr="00974EFF">
        <w:rPr>
          <w:rFonts w:ascii="Times New Roman" w:eastAsiaTheme="minorEastAsia" w:hAnsi="Times New Roman" w:cs="Times New Roman"/>
          <w:sz w:val="20"/>
          <w:szCs w:val="20"/>
        </w:rPr>
        <w:t xml:space="preserve"> </w:t>
      </w:r>
      <w:r w:rsidRPr="007D50F0">
        <w:rPr>
          <w:rFonts w:ascii="Times New Roman" w:eastAsiaTheme="minorEastAsia" w:hAnsi="Times New Roman" w:cs="Times New Roman"/>
          <w:sz w:val="20"/>
          <w:szCs w:val="20"/>
        </w:rPr>
        <w:t>and enhance high-</w:t>
      </w:r>
      <m:oMath>
        <m:sSub>
          <m:sSubPr>
            <m:ctrlPr>
              <w:rPr>
                <w:rFonts w:ascii="Cambria Math" w:eastAsia="Times New Roman" w:hAnsi="Cambria Math" w:cs="Times New Roman"/>
                <w:i/>
                <w:kern w:val="0"/>
                <w:sz w:val="20"/>
                <w:szCs w:val="20"/>
                <w:lang w:val="en-US" w:eastAsia="ru-RU"/>
                <w14:ligatures w14:val="none"/>
              </w:rPr>
            </m:ctrlPr>
          </m:sSubPr>
          <m:e>
            <m:r>
              <w:rPr>
                <w:rFonts w:ascii="Cambria Math" w:hAnsi="Cambria Math"/>
                <w:sz w:val="20"/>
                <w:szCs w:val="20"/>
                <w:lang w:val="en-US"/>
              </w:rPr>
              <m:t>T</m:t>
            </m:r>
          </m:e>
          <m:sub>
            <m:r>
              <w:rPr>
                <w:rFonts w:ascii="Cambria Math" w:hAnsi="Cambria Math"/>
                <w:sz w:val="20"/>
                <w:szCs w:val="20"/>
                <w:lang w:val="en-US"/>
              </w:rPr>
              <m:t>c</m:t>
            </m:r>
          </m:sub>
        </m:sSub>
      </m:oMath>
      <w:r w:rsidRPr="007D50F0">
        <w:rPr>
          <w:rFonts w:ascii="Times New Roman" w:eastAsiaTheme="minorEastAsia" w:hAnsi="Times New Roman" w:cs="Times New Roman"/>
          <w:sz w:val="20"/>
          <w:szCs w:val="20"/>
        </w:rPr>
        <w:t xml:space="preserve"> superconductivity in them.</w:t>
      </w:r>
    </w:p>
    <w:p w14:paraId="6307C5BD" w14:textId="77777777" w:rsidR="000D37FA" w:rsidRPr="007D50F0" w:rsidRDefault="000D37FA" w:rsidP="007D50F0">
      <w:pPr>
        <w:rPr>
          <w:rFonts w:ascii="Times New Roman" w:hAnsi="Times New Roman" w:cs="Times New Roman"/>
          <w:sz w:val="20"/>
          <w:szCs w:val="20"/>
        </w:rPr>
      </w:pPr>
    </w:p>
    <w:p w14:paraId="3C39C657" w14:textId="2FEE58C2" w:rsidR="000D37FA" w:rsidRDefault="00000000" w:rsidP="007D50F0">
      <w:pPr>
        <w:pStyle w:val="a4"/>
        <w:spacing w:before="0" w:beforeAutospacing="0" w:after="0" w:afterAutospacing="0"/>
        <w:rPr>
          <w:b/>
          <w:bCs/>
          <w:sz w:val="20"/>
          <w:szCs w:val="20"/>
          <w:lang w:val="en-US"/>
        </w:rPr>
      </w:pPr>
      <w:r w:rsidRPr="007D50F0">
        <w:rPr>
          <w:b/>
          <w:bCs/>
          <w:sz w:val="20"/>
          <w:szCs w:val="20"/>
        </w:rPr>
        <w:t xml:space="preserve">References </w:t>
      </w:r>
    </w:p>
    <w:p w14:paraId="08BDA3CB" w14:textId="77777777" w:rsidR="006A2755" w:rsidRPr="006A2755" w:rsidRDefault="006A2755" w:rsidP="007D50F0">
      <w:pPr>
        <w:pStyle w:val="a4"/>
        <w:spacing w:before="0" w:beforeAutospacing="0" w:after="0" w:afterAutospacing="0"/>
        <w:rPr>
          <w:sz w:val="20"/>
          <w:szCs w:val="20"/>
          <w:lang w:val="en-US"/>
        </w:rPr>
      </w:pPr>
    </w:p>
    <w:p w14:paraId="0F7AD9EA" w14:textId="77777777" w:rsidR="000D37FA" w:rsidRPr="007D50F0" w:rsidRDefault="00000000" w:rsidP="007D50F0">
      <w:pPr>
        <w:pStyle w:val="a4"/>
        <w:numPr>
          <w:ilvl w:val="0"/>
          <w:numId w:val="1"/>
        </w:numPr>
        <w:spacing w:before="0" w:beforeAutospacing="0" w:after="0" w:afterAutospacing="0"/>
        <w:ind w:left="284" w:hanging="284"/>
        <w:rPr>
          <w:color w:val="000000" w:themeColor="text1"/>
          <w:sz w:val="20"/>
          <w:szCs w:val="20"/>
          <w:lang w:val="en-US"/>
        </w:rPr>
      </w:pPr>
      <w:r w:rsidRPr="007D50F0">
        <w:rPr>
          <w:color w:val="000000" w:themeColor="text1"/>
          <w:sz w:val="20"/>
          <w:szCs w:val="20"/>
        </w:rPr>
        <w:t xml:space="preserve">Wilson A H 1931 </w:t>
      </w:r>
      <w:r w:rsidRPr="007D50F0">
        <w:rPr>
          <w:i/>
          <w:iCs/>
          <w:color w:val="000000" w:themeColor="text1"/>
          <w:sz w:val="20"/>
          <w:szCs w:val="20"/>
        </w:rPr>
        <w:t xml:space="preserve">Proc. R. Soc. A </w:t>
      </w:r>
      <w:r w:rsidRPr="007D50F0">
        <w:rPr>
          <w:b/>
          <w:bCs/>
          <w:color w:val="000000" w:themeColor="text1"/>
          <w:sz w:val="20"/>
          <w:szCs w:val="20"/>
        </w:rPr>
        <w:t xml:space="preserve">133 </w:t>
      </w:r>
      <w:r w:rsidRPr="007D50F0">
        <w:rPr>
          <w:color w:val="000000" w:themeColor="text1"/>
          <w:sz w:val="20"/>
          <w:szCs w:val="20"/>
        </w:rPr>
        <w:t>458–91</w:t>
      </w:r>
      <w:r w:rsidRPr="007D50F0">
        <w:rPr>
          <w:color w:val="000000" w:themeColor="text1"/>
          <w:sz w:val="20"/>
          <w:szCs w:val="20"/>
          <w:lang w:val="en-US"/>
        </w:rPr>
        <w:t>.</w:t>
      </w:r>
    </w:p>
    <w:p w14:paraId="7706A578" w14:textId="77777777" w:rsidR="000D37FA" w:rsidRPr="007D50F0" w:rsidRDefault="00000000" w:rsidP="007D50F0">
      <w:pPr>
        <w:pStyle w:val="a4"/>
        <w:numPr>
          <w:ilvl w:val="0"/>
          <w:numId w:val="1"/>
        </w:numPr>
        <w:spacing w:before="0" w:beforeAutospacing="0" w:after="0" w:afterAutospacing="0"/>
        <w:ind w:left="284" w:hanging="284"/>
        <w:rPr>
          <w:color w:val="000000" w:themeColor="text1"/>
          <w:sz w:val="20"/>
          <w:szCs w:val="20"/>
        </w:rPr>
      </w:pPr>
      <w:r w:rsidRPr="007D50F0">
        <w:rPr>
          <w:color w:val="000000" w:themeColor="text1"/>
          <w:sz w:val="20"/>
          <w:szCs w:val="20"/>
        </w:rPr>
        <w:t xml:space="preserve">de Boer J H and Verwey E J W 1937 </w:t>
      </w:r>
      <w:r w:rsidRPr="007D50F0">
        <w:rPr>
          <w:i/>
          <w:iCs/>
          <w:color w:val="000000" w:themeColor="text1"/>
          <w:sz w:val="20"/>
          <w:szCs w:val="20"/>
        </w:rPr>
        <w:t xml:space="preserve">Proc. Phys. Soc. </w:t>
      </w:r>
      <w:r w:rsidRPr="007D50F0">
        <w:rPr>
          <w:b/>
          <w:bCs/>
          <w:color w:val="000000" w:themeColor="text1"/>
          <w:sz w:val="20"/>
          <w:szCs w:val="20"/>
        </w:rPr>
        <w:t xml:space="preserve">49 </w:t>
      </w:r>
      <w:r w:rsidRPr="007D50F0">
        <w:rPr>
          <w:color w:val="000000" w:themeColor="text1"/>
          <w:sz w:val="20"/>
          <w:szCs w:val="20"/>
        </w:rPr>
        <w:t xml:space="preserve">59 </w:t>
      </w:r>
    </w:p>
    <w:p w14:paraId="5506E707" w14:textId="77777777" w:rsidR="000D37FA" w:rsidRPr="007D50F0" w:rsidRDefault="00000000" w:rsidP="007D50F0">
      <w:pPr>
        <w:pStyle w:val="a4"/>
        <w:numPr>
          <w:ilvl w:val="0"/>
          <w:numId w:val="1"/>
        </w:numPr>
        <w:spacing w:before="0" w:beforeAutospacing="0" w:after="0" w:afterAutospacing="0"/>
        <w:ind w:left="284" w:hanging="284"/>
        <w:rPr>
          <w:color w:val="000000" w:themeColor="text1"/>
          <w:sz w:val="20"/>
          <w:szCs w:val="20"/>
          <w:lang w:val="en-US"/>
        </w:rPr>
      </w:pPr>
      <w:r w:rsidRPr="007D50F0">
        <w:rPr>
          <w:color w:val="000000" w:themeColor="text1"/>
          <w:sz w:val="20"/>
          <w:szCs w:val="20"/>
        </w:rPr>
        <w:t xml:space="preserve">Mott N F 1949 </w:t>
      </w:r>
      <w:r w:rsidRPr="007D50F0">
        <w:rPr>
          <w:i/>
          <w:iCs/>
          <w:color w:val="000000" w:themeColor="text1"/>
          <w:sz w:val="20"/>
          <w:szCs w:val="20"/>
        </w:rPr>
        <w:t xml:space="preserve">Proc. Phys. Soc. </w:t>
      </w:r>
      <w:r w:rsidRPr="007D50F0">
        <w:rPr>
          <w:color w:val="000000" w:themeColor="text1"/>
          <w:sz w:val="20"/>
          <w:szCs w:val="20"/>
        </w:rPr>
        <w:t xml:space="preserve">A </w:t>
      </w:r>
      <w:r w:rsidRPr="007D50F0">
        <w:rPr>
          <w:b/>
          <w:bCs/>
          <w:color w:val="000000" w:themeColor="text1"/>
          <w:sz w:val="20"/>
          <w:szCs w:val="20"/>
        </w:rPr>
        <w:t>62 </w:t>
      </w:r>
      <w:r w:rsidRPr="007D50F0">
        <w:rPr>
          <w:color w:val="000000" w:themeColor="text1"/>
          <w:sz w:val="20"/>
          <w:szCs w:val="20"/>
        </w:rPr>
        <w:t>416</w:t>
      </w:r>
      <w:r w:rsidRPr="007D50F0">
        <w:rPr>
          <w:color w:val="000000" w:themeColor="text1"/>
          <w:sz w:val="20"/>
          <w:szCs w:val="20"/>
          <w:lang w:val="en-US"/>
        </w:rPr>
        <w:t>.</w:t>
      </w:r>
    </w:p>
    <w:p w14:paraId="04D9C9E5" w14:textId="3BBA045D" w:rsidR="000D37FA" w:rsidRPr="007D50F0" w:rsidRDefault="00000000" w:rsidP="007D50F0">
      <w:pPr>
        <w:pStyle w:val="a4"/>
        <w:numPr>
          <w:ilvl w:val="0"/>
          <w:numId w:val="1"/>
        </w:numPr>
        <w:spacing w:before="0" w:beforeAutospacing="0" w:after="0" w:afterAutospacing="0"/>
        <w:ind w:left="284" w:hanging="284"/>
        <w:jc w:val="both"/>
        <w:rPr>
          <w:sz w:val="20"/>
          <w:szCs w:val="20"/>
          <w:lang w:val="en-US"/>
        </w:rPr>
      </w:pPr>
      <w:proofErr w:type="spellStart"/>
      <w:r w:rsidRPr="007D50F0">
        <w:rPr>
          <w:sz w:val="20"/>
          <w:szCs w:val="20"/>
          <w:lang w:val="en-US"/>
        </w:rPr>
        <w:t>Dzhumanov</w:t>
      </w:r>
      <w:proofErr w:type="spellEnd"/>
      <w:r w:rsidRPr="007D50F0">
        <w:rPr>
          <w:sz w:val="20"/>
          <w:szCs w:val="20"/>
          <w:lang w:val="en-US"/>
        </w:rPr>
        <w:t xml:space="preserve"> S. Theory of Conventional and Unconventional Superconductivity in the High-T</w:t>
      </w:r>
      <w:r w:rsidRPr="007D50F0">
        <w:rPr>
          <w:sz w:val="20"/>
          <w:szCs w:val="20"/>
          <w:vertAlign w:val="subscript"/>
          <w:lang w:val="en-US"/>
        </w:rPr>
        <w:t>c</w:t>
      </w:r>
      <w:r w:rsidRPr="007D50F0">
        <w:rPr>
          <w:sz w:val="20"/>
          <w:szCs w:val="20"/>
          <w:lang w:val="en-US"/>
        </w:rPr>
        <w:t xml:space="preserve"> </w:t>
      </w:r>
      <w:proofErr w:type="spellStart"/>
      <w:r w:rsidRPr="007D50F0">
        <w:rPr>
          <w:sz w:val="20"/>
          <w:szCs w:val="20"/>
          <w:lang w:val="en-US"/>
        </w:rPr>
        <w:t>Cuprates</w:t>
      </w:r>
      <w:proofErr w:type="spellEnd"/>
      <w:r w:rsidRPr="007D50F0">
        <w:rPr>
          <w:sz w:val="20"/>
          <w:szCs w:val="20"/>
          <w:lang w:val="en-US"/>
        </w:rPr>
        <w:t xml:space="preserve"> and Other Systems</w:t>
      </w:r>
      <w:r w:rsidRPr="007D50F0">
        <w:rPr>
          <w:iCs/>
          <w:sz w:val="20"/>
          <w:szCs w:val="20"/>
          <w:lang w:val="en-US"/>
        </w:rPr>
        <w:t xml:space="preserve">. </w:t>
      </w:r>
      <w:r w:rsidRPr="007D50F0">
        <w:rPr>
          <w:i/>
          <w:iCs/>
          <w:sz w:val="20"/>
          <w:szCs w:val="20"/>
          <w:lang w:val="en-US"/>
        </w:rPr>
        <w:t>Nova Science Publishers</w:t>
      </w:r>
      <w:r w:rsidRPr="007D50F0">
        <w:rPr>
          <w:sz w:val="20"/>
          <w:szCs w:val="20"/>
          <w:lang w:val="en-US"/>
        </w:rPr>
        <w:t>, New York, 2013, 356 p.</w:t>
      </w:r>
      <w:r w:rsidRPr="007D50F0">
        <w:rPr>
          <w:color w:val="000000"/>
          <w:sz w:val="20"/>
          <w:szCs w:val="20"/>
        </w:rPr>
        <w:t xml:space="preserve"> </w:t>
      </w:r>
    </w:p>
    <w:p w14:paraId="3222FB35" w14:textId="3DE88D0A" w:rsidR="000D37FA" w:rsidRPr="007D50F0" w:rsidRDefault="00000000" w:rsidP="007D50F0">
      <w:pPr>
        <w:pStyle w:val="a5"/>
        <w:numPr>
          <w:ilvl w:val="0"/>
          <w:numId w:val="1"/>
        </w:numPr>
        <w:ind w:left="284" w:hanging="284"/>
        <w:jc w:val="both"/>
        <w:rPr>
          <w:rFonts w:ascii="Times New Roman" w:hAnsi="Times New Roman" w:cs="Times New Roman"/>
          <w:sz w:val="20"/>
          <w:szCs w:val="20"/>
          <w:lang w:val="en-US"/>
        </w:rPr>
      </w:pPr>
      <w:r w:rsidRPr="007D50F0">
        <w:rPr>
          <w:rFonts w:ascii="Times New Roman" w:hAnsi="Times New Roman" w:cs="Times New Roman"/>
          <w:sz w:val="20"/>
          <w:szCs w:val="20"/>
          <w:lang w:val="en-US"/>
        </w:rPr>
        <w:t xml:space="preserve">Mott N. F. </w:t>
      </w:r>
      <w:r w:rsidRPr="007D50F0">
        <w:rPr>
          <w:rFonts w:ascii="Times New Roman" w:hAnsi="Times New Roman" w:cs="Times New Roman"/>
          <w:i/>
          <w:iCs/>
          <w:sz w:val="20"/>
          <w:szCs w:val="20"/>
          <w:lang w:val="en-US"/>
        </w:rPr>
        <w:t>Metal-Insulator Transitions</w:t>
      </w:r>
      <w:r w:rsidRPr="007D50F0">
        <w:rPr>
          <w:rFonts w:ascii="Times New Roman" w:hAnsi="Times New Roman" w:cs="Times New Roman"/>
          <w:sz w:val="20"/>
          <w:szCs w:val="20"/>
          <w:lang w:val="en-US"/>
        </w:rPr>
        <w:t>. Taylor and Francis, London, 1990, 286 p.</w:t>
      </w:r>
      <w:r w:rsidRPr="007D50F0">
        <w:rPr>
          <w:rFonts w:ascii="Times New Roman" w:hAnsi="Times New Roman" w:cs="Times New Roman"/>
          <w:sz w:val="20"/>
          <w:szCs w:val="20"/>
        </w:rPr>
        <w:t xml:space="preserve"> </w:t>
      </w:r>
    </w:p>
    <w:p w14:paraId="030BEFC2" w14:textId="07B2282C" w:rsidR="000D37FA" w:rsidRPr="007D50F0" w:rsidRDefault="00000000" w:rsidP="007D50F0">
      <w:pPr>
        <w:pStyle w:val="a5"/>
        <w:numPr>
          <w:ilvl w:val="0"/>
          <w:numId w:val="1"/>
        </w:numPr>
        <w:ind w:left="284" w:hanging="284"/>
        <w:jc w:val="both"/>
        <w:rPr>
          <w:rFonts w:ascii="Times New Roman" w:hAnsi="Times New Roman" w:cs="Times New Roman"/>
          <w:sz w:val="20"/>
          <w:szCs w:val="20"/>
          <w:lang w:val="en-US"/>
        </w:rPr>
      </w:pPr>
      <w:r w:rsidRPr="007D50F0">
        <w:rPr>
          <w:rFonts w:ascii="Times New Roman" w:eastAsia="Times New Roman" w:hAnsi="Times New Roman" w:cs="Times New Roman"/>
          <w:kern w:val="0"/>
          <w:sz w:val="20"/>
          <w:szCs w:val="20"/>
          <w:lang w:eastAsia="ru-RU"/>
          <w14:ligatures w14:val="none"/>
        </w:rPr>
        <w:t>Imada</w:t>
      </w:r>
      <w:r w:rsidR="00167DF7" w:rsidRPr="00167DF7">
        <w:rPr>
          <w:rFonts w:ascii="Times New Roman" w:eastAsia="Times New Roman" w:hAnsi="Times New Roman" w:cs="Times New Roman"/>
          <w:kern w:val="0"/>
          <w:sz w:val="20"/>
          <w:szCs w:val="20"/>
          <w:lang w:eastAsia="ru-RU"/>
          <w14:ligatures w14:val="none"/>
        </w:rPr>
        <w:t xml:space="preserve"> </w:t>
      </w:r>
      <w:r w:rsidR="00167DF7" w:rsidRPr="007D50F0">
        <w:rPr>
          <w:rFonts w:ascii="Times New Roman" w:eastAsia="Times New Roman" w:hAnsi="Times New Roman" w:cs="Times New Roman"/>
          <w:kern w:val="0"/>
          <w:sz w:val="20"/>
          <w:szCs w:val="20"/>
          <w:lang w:eastAsia="ru-RU"/>
          <w14:ligatures w14:val="none"/>
        </w:rPr>
        <w:t>M</w:t>
      </w:r>
      <w:r w:rsidRPr="007D50F0">
        <w:rPr>
          <w:rFonts w:ascii="Times New Roman" w:eastAsia="Times New Roman" w:hAnsi="Times New Roman" w:cs="Times New Roman"/>
          <w:kern w:val="0"/>
          <w:sz w:val="20"/>
          <w:szCs w:val="20"/>
          <w:lang w:eastAsia="ru-RU"/>
          <w14:ligatures w14:val="none"/>
        </w:rPr>
        <w:t>, Fujimori</w:t>
      </w:r>
      <w:r w:rsidR="00167DF7" w:rsidRPr="00167DF7">
        <w:rPr>
          <w:rFonts w:ascii="Times New Roman" w:eastAsia="Times New Roman" w:hAnsi="Times New Roman" w:cs="Times New Roman"/>
          <w:kern w:val="0"/>
          <w:sz w:val="20"/>
          <w:szCs w:val="20"/>
          <w:lang w:eastAsia="ru-RU"/>
          <w14:ligatures w14:val="none"/>
        </w:rPr>
        <w:t xml:space="preserve"> </w:t>
      </w:r>
      <w:r w:rsidR="00167DF7" w:rsidRPr="007D50F0">
        <w:rPr>
          <w:rFonts w:ascii="Times New Roman" w:eastAsia="Times New Roman" w:hAnsi="Times New Roman" w:cs="Times New Roman"/>
          <w:kern w:val="0"/>
          <w:sz w:val="20"/>
          <w:szCs w:val="20"/>
          <w:lang w:eastAsia="ru-RU"/>
          <w14:ligatures w14:val="none"/>
        </w:rPr>
        <w:t>A</w:t>
      </w:r>
      <w:r w:rsidRPr="007D50F0">
        <w:rPr>
          <w:rFonts w:ascii="Times New Roman" w:eastAsia="Times New Roman" w:hAnsi="Times New Roman" w:cs="Times New Roman"/>
          <w:kern w:val="0"/>
          <w:sz w:val="20"/>
          <w:szCs w:val="20"/>
          <w:lang w:eastAsia="ru-RU"/>
          <w14:ligatures w14:val="none"/>
        </w:rPr>
        <w:t xml:space="preserve"> and Tokura</w:t>
      </w:r>
      <w:r w:rsidR="00167DF7" w:rsidRPr="00167DF7">
        <w:rPr>
          <w:rFonts w:ascii="Times New Roman" w:eastAsia="Times New Roman" w:hAnsi="Times New Roman" w:cs="Times New Roman"/>
          <w:kern w:val="0"/>
          <w:sz w:val="20"/>
          <w:szCs w:val="20"/>
          <w:lang w:eastAsia="ru-RU"/>
          <w14:ligatures w14:val="none"/>
        </w:rPr>
        <w:t xml:space="preserve"> </w:t>
      </w:r>
      <w:r w:rsidR="00167DF7" w:rsidRPr="007D50F0">
        <w:rPr>
          <w:rFonts w:ascii="Times New Roman" w:eastAsia="Times New Roman" w:hAnsi="Times New Roman" w:cs="Times New Roman"/>
          <w:kern w:val="0"/>
          <w:sz w:val="20"/>
          <w:szCs w:val="20"/>
          <w:lang w:eastAsia="ru-RU"/>
          <w14:ligatures w14:val="none"/>
        </w:rPr>
        <w:t>Y</w:t>
      </w:r>
      <w:r w:rsidRPr="007D50F0">
        <w:rPr>
          <w:rFonts w:ascii="Times New Roman" w:hAnsi="Times New Roman" w:cs="Times New Roman"/>
          <w:sz w:val="20"/>
          <w:szCs w:val="20"/>
          <w:lang w:val="en-US"/>
        </w:rPr>
        <w:t xml:space="preserve">. </w:t>
      </w:r>
      <w:r w:rsidRPr="007D50F0">
        <w:rPr>
          <w:rFonts w:ascii="Times New Roman" w:hAnsi="Times New Roman" w:cs="Times New Roman"/>
          <w:i/>
          <w:iCs/>
          <w:sz w:val="20"/>
          <w:szCs w:val="20"/>
          <w:lang w:val="en-US"/>
        </w:rPr>
        <w:t>Rev. Mod. Phys.</w:t>
      </w:r>
      <w:r w:rsidRPr="007D50F0">
        <w:rPr>
          <w:rFonts w:ascii="Times New Roman" w:hAnsi="Times New Roman" w:cs="Times New Roman"/>
          <w:sz w:val="20"/>
          <w:szCs w:val="20"/>
          <w:lang w:val="en-US"/>
        </w:rPr>
        <w:t xml:space="preserve"> 1998, Vol. </w:t>
      </w:r>
      <w:r w:rsidRPr="007D50F0">
        <w:rPr>
          <w:rFonts w:ascii="Times New Roman" w:hAnsi="Times New Roman" w:cs="Times New Roman"/>
          <w:bCs/>
          <w:sz w:val="20"/>
          <w:szCs w:val="20"/>
          <w:lang w:val="en-US"/>
        </w:rPr>
        <w:t>70,</w:t>
      </w:r>
      <w:r w:rsidRPr="007D50F0">
        <w:rPr>
          <w:rFonts w:ascii="Times New Roman" w:hAnsi="Times New Roman" w:cs="Times New Roman"/>
          <w:sz w:val="20"/>
          <w:szCs w:val="20"/>
          <w:lang w:val="en-US"/>
        </w:rPr>
        <w:t xml:space="preserve"> pp. 1039-1263.</w:t>
      </w:r>
      <w:r w:rsidRPr="007D50F0">
        <w:rPr>
          <w:rFonts w:ascii="Times New Roman" w:hAnsi="Times New Roman" w:cs="Times New Roman"/>
          <w:color w:val="222222"/>
          <w:sz w:val="20"/>
          <w:szCs w:val="20"/>
          <w:shd w:val="clear" w:color="auto" w:fill="FFFFFF"/>
        </w:rPr>
        <w:t xml:space="preserve"> </w:t>
      </w:r>
    </w:p>
    <w:p w14:paraId="2FD28CCF" w14:textId="212CA4D1" w:rsidR="000D37FA" w:rsidRPr="006A2755" w:rsidRDefault="00000000" w:rsidP="007D50F0">
      <w:pPr>
        <w:pStyle w:val="a5"/>
        <w:numPr>
          <w:ilvl w:val="0"/>
          <w:numId w:val="1"/>
        </w:numPr>
        <w:ind w:left="284" w:hanging="284"/>
        <w:jc w:val="both"/>
        <w:rPr>
          <w:rFonts w:ascii="Times New Roman" w:hAnsi="Times New Roman" w:cs="Times New Roman"/>
          <w:sz w:val="20"/>
          <w:szCs w:val="20"/>
        </w:rPr>
      </w:pPr>
      <w:r w:rsidRPr="006A2755">
        <w:rPr>
          <w:rFonts w:ascii="Times New Roman" w:hAnsi="Times New Roman" w:cs="Times New Roman"/>
          <w:sz w:val="20"/>
          <w:szCs w:val="20"/>
          <w:lang w:val="en-US"/>
        </w:rPr>
        <w:t xml:space="preserve">Walz F. </w:t>
      </w:r>
      <w:r w:rsidRPr="006A2755">
        <w:rPr>
          <w:rFonts w:ascii="Times New Roman" w:hAnsi="Times New Roman" w:cs="Times New Roman"/>
          <w:i/>
          <w:sz w:val="20"/>
          <w:szCs w:val="20"/>
          <w:lang w:val="en-US"/>
        </w:rPr>
        <w:t xml:space="preserve">J. Phys.: </w:t>
      </w:r>
      <w:proofErr w:type="spellStart"/>
      <w:r w:rsidRPr="006A2755">
        <w:rPr>
          <w:rFonts w:ascii="Times New Roman" w:hAnsi="Times New Roman" w:cs="Times New Roman"/>
          <w:i/>
          <w:sz w:val="20"/>
          <w:szCs w:val="20"/>
          <w:lang w:val="en-US"/>
        </w:rPr>
        <w:t>Condens</w:t>
      </w:r>
      <w:proofErr w:type="spellEnd"/>
      <w:r w:rsidRPr="006A2755">
        <w:rPr>
          <w:rFonts w:ascii="Times New Roman" w:hAnsi="Times New Roman" w:cs="Times New Roman"/>
          <w:i/>
          <w:sz w:val="20"/>
          <w:szCs w:val="20"/>
          <w:lang w:val="en-US"/>
        </w:rPr>
        <w:t>. Matter.</w:t>
      </w:r>
      <w:r w:rsidRPr="006A2755">
        <w:rPr>
          <w:rFonts w:ascii="Times New Roman" w:hAnsi="Times New Roman" w:cs="Times New Roman"/>
          <w:sz w:val="20"/>
          <w:szCs w:val="20"/>
          <w:lang w:val="en-US"/>
        </w:rPr>
        <w:t>2002, Vol.</w:t>
      </w:r>
      <w:r w:rsidRPr="006A2755">
        <w:rPr>
          <w:rFonts w:ascii="Times New Roman" w:hAnsi="Times New Roman" w:cs="Times New Roman"/>
          <w:bCs/>
          <w:sz w:val="20"/>
          <w:szCs w:val="20"/>
          <w:lang w:val="en-US"/>
        </w:rPr>
        <w:t>14</w:t>
      </w:r>
      <w:r w:rsidRPr="006A2755">
        <w:rPr>
          <w:rFonts w:ascii="Times New Roman" w:hAnsi="Times New Roman" w:cs="Times New Roman"/>
          <w:sz w:val="20"/>
          <w:szCs w:val="20"/>
          <w:lang w:val="en-US"/>
        </w:rPr>
        <w:t>, pp. R285-R340.</w:t>
      </w:r>
    </w:p>
    <w:sectPr w:rsidR="000D37FA" w:rsidRPr="006A2755" w:rsidSect="007D50F0">
      <w:pgSz w:w="11906" w:h="16838"/>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35647B"/>
    <w:multiLevelType w:val="multilevel"/>
    <w:tmpl w:val="7B3564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119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9C3FF81E"/>
    <w:rsid w:val="95FE6897"/>
    <w:rsid w:val="9C3FF81E"/>
    <w:rsid w:val="BFACD7EB"/>
    <w:rsid w:val="BFF04C94"/>
    <w:rsid w:val="FF7BF138"/>
    <w:rsid w:val="000144D2"/>
    <w:rsid w:val="00072BD7"/>
    <w:rsid w:val="000D37FA"/>
    <w:rsid w:val="00167DF7"/>
    <w:rsid w:val="00195780"/>
    <w:rsid w:val="00210CE7"/>
    <w:rsid w:val="00327F95"/>
    <w:rsid w:val="0054001E"/>
    <w:rsid w:val="005B06C2"/>
    <w:rsid w:val="005C0555"/>
    <w:rsid w:val="005D409A"/>
    <w:rsid w:val="006A2755"/>
    <w:rsid w:val="007D50F0"/>
    <w:rsid w:val="00924025"/>
    <w:rsid w:val="00972F8F"/>
    <w:rsid w:val="00974EFF"/>
    <w:rsid w:val="00AE0655"/>
    <w:rsid w:val="00B21972"/>
    <w:rsid w:val="00B626A1"/>
    <w:rsid w:val="00C8623C"/>
    <w:rsid w:val="00DB1702"/>
    <w:rsid w:val="00E143D7"/>
    <w:rsid w:val="00E86D22"/>
    <w:rsid w:val="00F41CC6"/>
    <w:rsid w:val="2F7F03FE"/>
    <w:rsid w:val="35E87DC1"/>
    <w:rsid w:val="3F6E2CE8"/>
    <w:rsid w:val="77FA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D0891"/>
  <w15:docId w15:val="{EB4022EC-30EC-4D51-BEFB-75ADE648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Theme="minorHAnsi"/>
      <w:kern w:val="2"/>
      <w:sz w:val="24"/>
      <w:szCs w:val="24"/>
      <w:lang w:val="zh-CN"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Normal (Web)"/>
    <w:basedOn w:val="a"/>
    <w:uiPriority w:val="99"/>
    <w:unhideWhenUsed/>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5">
    <w:name w:val="List Paragraph"/>
    <w:basedOn w:val="a"/>
    <w:uiPriority w:val="34"/>
    <w:qFormat/>
    <w:pPr>
      <w:ind w:left="720"/>
      <w:contextualSpacing/>
    </w:pPr>
  </w:style>
  <w:style w:type="character" w:customStyle="1" w:styleId="apple-converted-space">
    <w:name w:val="apple-converted-space"/>
    <w:basedOn w:val="a0"/>
  </w:style>
  <w:style w:type="character" w:customStyle="1" w:styleId="meta-container">
    <w:name w:val="meta-container"/>
    <w:basedOn w:val="a0"/>
  </w:style>
  <w:style w:type="paragraph" w:customStyle="1" w:styleId="EuPhTJAuthorAffiliation">
    <w:name w:val="EuPhTJ_Author Affiliation"/>
    <w:basedOn w:val="a"/>
    <w:uiPriority w:val="99"/>
    <w:pPr>
      <w:jc w:val="center"/>
    </w:pPr>
    <w:rPr>
      <w:rFonts w:ascii="Arial Narrow" w:hAnsi="Arial Narrow" w:cs="Times New Roman"/>
      <w:iCs/>
      <w:szCs w:val="18"/>
      <w:lang w:eastAsia="ru-RU"/>
    </w:rPr>
  </w:style>
  <w:style w:type="character" w:styleId="a6">
    <w:name w:val="Placeholder Text"/>
    <w:basedOn w:val="a0"/>
    <w:uiPriority w:val="99"/>
    <w:unhideWhenUsed/>
    <w:rsid w:val="0054001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kurbanov@inp.uz"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macbookair</dc:creator>
  <cp:lastModifiedBy>LENOVO</cp:lastModifiedBy>
  <cp:revision>32</cp:revision>
  <dcterms:created xsi:type="dcterms:W3CDTF">2024-06-27T15:33:00Z</dcterms:created>
  <dcterms:modified xsi:type="dcterms:W3CDTF">2024-08-16T11:05:00Z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1033-5.7.1.8093</vt:lpwstr>
  </property>
</Properties>
</file>