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06E6" w14:textId="373E983A" w:rsidR="002D10E1" w:rsidRPr="00AF017B" w:rsidRDefault="002D10E1" w:rsidP="002D10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Analysis</w:t>
      </w:r>
      <w:r w:rsidRPr="00AF017B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of </w:t>
      </w:r>
      <w:r w:rsidRPr="00F17BA4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IN"/>
        </w:rPr>
        <w:t>22</w:t>
      </w:r>
      <w:r w:rsidRPr="00AF017B">
        <w:rPr>
          <w:rFonts w:ascii="Times New Roman" w:hAnsi="Times New Roman" w:cs="Times New Roman"/>
          <w:b/>
          <w:bCs/>
          <w:sz w:val="28"/>
          <w:szCs w:val="28"/>
          <w:lang w:val="en-IN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+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IN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Be</w:t>
      </w:r>
      <w:r w:rsidRPr="00AF017B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Reaction Data</w:t>
      </w:r>
      <w:r w:rsidRPr="00AF017B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Through </w:t>
      </w:r>
      <w:r w:rsidRPr="00AF017B">
        <w:rPr>
          <w:rFonts w:ascii="Times New Roman" w:hAnsi="Times New Roman" w:cs="Times New Roman"/>
          <w:b/>
          <w:bCs/>
          <w:sz w:val="28"/>
          <w:szCs w:val="28"/>
          <w:lang w:val="en-IN"/>
        </w:rPr>
        <w:t>Glauber Model at 700 MeV/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Beam Energy</w:t>
      </w:r>
    </w:p>
    <w:p w14:paraId="028B3B56" w14:textId="36C7472C" w:rsidR="008D370C" w:rsidRPr="00C049FE" w:rsidRDefault="00700EC6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en-US"/>
        </w:rPr>
      </w:pPr>
      <w:proofErr w:type="gramStart"/>
      <w:r>
        <w:rPr>
          <w:rFonts w:ascii="Times New Roman" w:eastAsia="MS Mincho" w:hAnsi="Times New Roman" w:cs="Times New Roman"/>
          <w:i/>
          <w:sz w:val="20"/>
          <w:szCs w:val="20"/>
          <w:lang w:val="en-US"/>
        </w:rPr>
        <w:t>Surender</w:t>
      </w:r>
      <w:r w:rsidR="00EB26B9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en-US"/>
        </w:rPr>
        <w:t>.*</w:t>
      </w:r>
      <w:proofErr w:type="gramEnd"/>
      <w:r w:rsidR="00EB26B9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en-US"/>
        </w:rPr>
        <w:t xml:space="preserve"> 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="003A630C">
        <w:rPr>
          <w:rFonts w:ascii="Times New Roman" w:eastAsia="MS Mincho" w:hAnsi="Times New Roman" w:cs="Times New Roman"/>
          <w:i/>
          <w:sz w:val="20"/>
          <w:szCs w:val="20"/>
          <w:lang w:val="en-US"/>
        </w:rPr>
        <w:t xml:space="preserve">Jaideep, </w:t>
      </w:r>
      <w:r>
        <w:rPr>
          <w:rFonts w:ascii="Times New Roman" w:eastAsia="MS Mincho" w:hAnsi="Times New Roman" w:cs="Times New Roman"/>
          <w:i/>
          <w:sz w:val="20"/>
          <w:szCs w:val="20"/>
          <w:lang w:val="en-US"/>
        </w:rPr>
        <w:t>Ravinder Kumar</w:t>
      </w:r>
      <w:r w:rsidR="00B3101B">
        <w:rPr>
          <w:rFonts w:ascii="Times New Roman" w:eastAsia="MS Mincho" w:hAnsi="Times New Roman" w:cs="Times New Roman"/>
          <w:i/>
          <w:sz w:val="20"/>
          <w:szCs w:val="20"/>
          <w:lang w:val="en-US"/>
        </w:rPr>
        <w:t>,</w:t>
      </w:r>
    </w:p>
    <w:p w14:paraId="2D8747C2" w14:textId="77777777" w:rsidR="00C049FE" w:rsidRDefault="008D370C" w:rsidP="00C049FE">
      <w:pPr>
        <w:spacing w:after="42" w:line="254" w:lineRule="auto"/>
        <w:ind w:left="2833" w:right="642" w:hanging="2191"/>
        <w:rPr>
          <w:rFonts w:ascii="Cambria" w:eastAsia="Cambria" w:hAnsi="Cambria" w:cs="Cambria"/>
          <w:vertAlign w:val="superscript"/>
        </w:rPr>
      </w:pPr>
      <w:r w:rsidRPr="0074100A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en-US"/>
        </w:rPr>
        <w:t>1</w:t>
      </w:r>
      <w:r w:rsidR="00C049FE" w:rsidRPr="00C049FE">
        <w:rPr>
          <w:rFonts w:ascii="Cambria" w:eastAsia="Cambria" w:hAnsi="Cambria" w:cs="Cambria"/>
          <w:i/>
        </w:rPr>
        <w:t xml:space="preserve"> </w:t>
      </w:r>
      <w:r w:rsidR="00C049FE" w:rsidRPr="00C049FE">
        <w:rPr>
          <w:rFonts w:ascii="Times New Roman" w:eastAsia="Cambria" w:hAnsi="Times New Roman" w:cs="Times New Roman"/>
          <w:i/>
          <w:sz w:val="20"/>
          <w:szCs w:val="20"/>
        </w:rPr>
        <w:t>Department of Physics, Deenbandhu Chhotu Ram University of Science and Technology Murthal, Sonipat -</w:t>
      </w:r>
      <w:proofErr w:type="gramStart"/>
      <w:r w:rsidR="00C049FE" w:rsidRPr="00C049FE">
        <w:rPr>
          <w:rFonts w:ascii="Times New Roman" w:eastAsia="Cambria" w:hAnsi="Times New Roman" w:cs="Times New Roman"/>
          <w:i/>
          <w:sz w:val="20"/>
          <w:szCs w:val="20"/>
        </w:rPr>
        <w:t>131039,Haryana</w:t>
      </w:r>
      <w:proofErr w:type="gramEnd"/>
      <w:r w:rsidR="00C049FE" w:rsidRPr="00C049FE">
        <w:rPr>
          <w:rFonts w:ascii="Times New Roman" w:eastAsia="Cambria" w:hAnsi="Times New Roman" w:cs="Times New Roman"/>
          <w:i/>
          <w:sz w:val="20"/>
          <w:szCs w:val="20"/>
        </w:rPr>
        <w:t>-India</w:t>
      </w:r>
      <w:r w:rsidR="00C049FE">
        <w:rPr>
          <w:rFonts w:ascii="Cambria" w:eastAsia="Cambria" w:hAnsi="Cambria" w:cs="Cambria"/>
          <w:i/>
        </w:rPr>
        <w:t xml:space="preserve"> </w:t>
      </w:r>
    </w:p>
    <w:p w14:paraId="2449A971" w14:textId="33D5D634" w:rsidR="00C049FE" w:rsidRPr="00C049FE" w:rsidRDefault="00C049FE" w:rsidP="00C049FE">
      <w:pPr>
        <w:spacing w:after="42" w:line="254" w:lineRule="auto"/>
        <w:ind w:left="2833" w:right="642" w:hanging="2191"/>
        <w:jc w:val="center"/>
        <w:rPr>
          <w:rFonts w:ascii="Times New Roman" w:hAnsi="Times New Roman" w:cs="Times New Roman"/>
        </w:rPr>
      </w:pPr>
      <w:r w:rsidRPr="00C049FE">
        <w:rPr>
          <w:rFonts w:ascii="Cambria Math" w:eastAsia="Cambria" w:hAnsi="Cambria Math" w:cs="Cambria Math"/>
          <w:vertAlign w:val="superscript"/>
        </w:rPr>
        <w:t>∗</w:t>
      </w:r>
      <w:r w:rsidRPr="00C049FE">
        <w:rPr>
          <w:rFonts w:ascii="Times New Roman" w:eastAsia="Cambria" w:hAnsi="Times New Roman" w:cs="Times New Roman"/>
          <w:vertAlign w:val="superscript"/>
        </w:rPr>
        <w:t xml:space="preserve"> </w:t>
      </w:r>
      <w:r w:rsidRPr="00C049FE">
        <w:rPr>
          <w:rFonts w:ascii="Times New Roman" w:hAnsi="Times New Roman" w:cs="Times New Roman"/>
        </w:rPr>
        <w:t>surender.schphy@dcrustm.org</w:t>
      </w:r>
    </w:p>
    <w:p w14:paraId="45A1EA28" w14:textId="77777777" w:rsidR="0074100A" w:rsidRPr="008D370C" w:rsidRDefault="0074100A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01E8B43F" w14:textId="0C599360" w:rsidR="00C44E04" w:rsidRPr="00B3101B" w:rsidRDefault="00C44E04" w:rsidP="00C44E04">
      <w:pPr>
        <w:pStyle w:val="NormalWeb"/>
        <w:spacing w:before="0" w:beforeAutospacing="0" w:after="0" w:afterAutospacing="0"/>
        <w:jc w:val="both"/>
        <w:rPr>
          <w:color w:val="0E101A"/>
          <w:sz w:val="20"/>
          <w:szCs w:val="20"/>
        </w:rPr>
      </w:pPr>
      <w:r w:rsidRPr="00B3101B">
        <w:rPr>
          <w:color w:val="0E101A"/>
          <w:sz w:val="20"/>
          <w:szCs w:val="20"/>
        </w:rPr>
        <w:t xml:space="preserve">The one neutron knockout reactions induced by the </w:t>
      </w:r>
      <w:r w:rsidRPr="00B3101B">
        <w:rPr>
          <w:color w:val="0E101A"/>
          <w:sz w:val="20"/>
          <w:szCs w:val="20"/>
          <w:vertAlign w:val="superscript"/>
        </w:rPr>
        <w:t>22</w:t>
      </w:r>
      <w:r w:rsidRPr="00B3101B">
        <w:rPr>
          <w:color w:val="0E101A"/>
          <w:sz w:val="20"/>
          <w:szCs w:val="20"/>
        </w:rPr>
        <w:t>N [</w:t>
      </w:r>
      <w:r w:rsidR="00B3101B" w:rsidRPr="00B3101B">
        <w:rPr>
          <w:color w:val="0E101A"/>
          <w:sz w:val="20"/>
          <w:szCs w:val="20"/>
        </w:rPr>
        <w:t>1,2</w:t>
      </w:r>
      <w:r w:rsidRPr="00B3101B">
        <w:rPr>
          <w:color w:val="0E101A"/>
          <w:sz w:val="20"/>
          <w:szCs w:val="20"/>
        </w:rPr>
        <w:t xml:space="preserve">] projectile (neutron halo) on the </w:t>
      </w:r>
      <w:r w:rsidRPr="00B3101B">
        <w:rPr>
          <w:color w:val="0E101A"/>
          <w:sz w:val="20"/>
          <w:szCs w:val="20"/>
          <w:vertAlign w:val="superscript"/>
        </w:rPr>
        <w:t>9</w:t>
      </w:r>
      <w:r w:rsidRPr="00B3101B">
        <w:rPr>
          <w:color w:val="0E101A"/>
          <w:sz w:val="20"/>
          <w:szCs w:val="20"/>
        </w:rPr>
        <w:t>Be target at 700 MeV/</w:t>
      </w:r>
      <w:r w:rsidR="002D10E1">
        <w:rPr>
          <w:color w:val="0E101A"/>
          <w:sz w:val="20"/>
          <w:szCs w:val="20"/>
        </w:rPr>
        <w:t>u</w:t>
      </w:r>
      <w:r w:rsidRPr="00B3101B">
        <w:rPr>
          <w:color w:val="0E101A"/>
          <w:sz w:val="20"/>
          <w:szCs w:val="20"/>
        </w:rPr>
        <w:t xml:space="preserve"> lab energy have been investigated by considering the low-lying excited states of projectile </w:t>
      </w:r>
      <w:r w:rsidRPr="00B3101B">
        <w:rPr>
          <w:color w:val="0E101A"/>
          <w:sz w:val="20"/>
          <w:szCs w:val="20"/>
          <w:vertAlign w:val="superscript"/>
        </w:rPr>
        <w:t>22</w:t>
      </w:r>
      <w:r w:rsidRPr="00B3101B">
        <w:rPr>
          <w:color w:val="0E101A"/>
          <w:sz w:val="20"/>
          <w:szCs w:val="20"/>
        </w:rPr>
        <w:t xml:space="preserve">N  </w:t>
      </w:r>
      <w:r w:rsidRPr="00B3101B">
        <w:rPr>
          <w:rFonts w:eastAsiaTheme="minorEastAsia"/>
          <w:bCs/>
          <w:sz w:val="20"/>
          <w:szCs w:val="20"/>
        </w:rPr>
        <w:t>(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</m:t>
            </m:r>
          </m:sup>
        </m:sSup>
      </m:oMath>
      <w:r w:rsidRPr="00B3101B">
        <w:rPr>
          <w:rFonts w:eastAsiaTheme="minorEastAsia"/>
          <w:sz w:val="20"/>
          <w:szCs w:val="20"/>
        </w:rPr>
        <w:t xml:space="preserve"> and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</m:t>
            </m:r>
          </m:sup>
        </m:sSup>
      </m:oMath>
      <w:r w:rsidRPr="00B3101B">
        <w:rPr>
          <w:rFonts w:eastAsiaTheme="minorEastAsia"/>
          <w:bCs/>
          <w:iCs/>
          <w:sz w:val="20"/>
          <w:szCs w:val="20"/>
        </w:rPr>
        <w:t xml:space="preserve">) </w:t>
      </w:r>
      <w:r w:rsidRPr="00B3101B">
        <w:rPr>
          <w:color w:val="0E101A"/>
          <w:sz w:val="20"/>
          <w:szCs w:val="20"/>
        </w:rPr>
        <w:t xml:space="preserve"> along with different excited states of core </w:t>
      </w:r>
      <w:r w:rsidRPr="00B3101B">
        <w:rPr>
          <w:color w:val="0E101A"/>
          <w:sz w:val="20"/>
          <w:szCs w:val="20"/>
          <w:vertAlign w:val="superscript"/>
        </w:rPr>
        <w:t>21</w:t>
      </w:r>
      <w:r w:rsidRPr="00B3101B">
        <w:rPr>
          <w:color w:val="0E101A"/>
          <w:sz w:val="20"/>
          <w:szCs w:val="20"/>
        </w:rPr>
        <w:t xml:space="preserve">N. Specifically, the </w:t>
      </w:r>
      <w:r w:rsidR="002D10E1">
        <w:rPr>
          <w:color w:val="0E101A"/>
          <w:sz w:val="20"/>
          <w:szCs w:val="20"/>
        </w:rPr>
        <w:t xml:space="preserve">one </w:t>
      </w:r>
      <w:r w:rsidRPr="00B3101B">
        <w:rPr>
          <w:color w:val="0E101A"/>
          <w:sz w:val="20"/>
          <w:szCs w:val="20"/>
        </w:rPr>
        <w:t xml:space="preserve">neutron breakup cross section and width of the outgoing core's longitudinal momentum distribution (LMD) corresponding to all possible projectile configurations have been computed and compared with available data. </w:t>
      </w:r>
      <w:r w:rsidR="002D10E1">
        <w:rPr>
          <w:color w:val="0E101A"/>
          <w:sz w:val="20"/>
          <w:szCs w:val="20"/>
        </w:rPr>
        <w:t xml:space="preserve"> All the calculation was done using the </w:t>
      </w:r>
      <w:r w:rsidR="002D10E1" w:rsidRPr="002D10E1">
        <w:rPr>
          <w:sz w:val="20"/>
          <w:szCs w:val="20"/>
        </w:rPr>
        <w:t>CSC</w:t>
      </w:r>
      <w:r w:rsidR="002D10E1" w:rsidRPr="002D10E1">
        <w:rPr>
          <w:sz w:val="20"/>
          <w:szCs w:val="20"/>
        </w:rPr>
        <w:t>_</w:t>
      </w:r>
      <w:r w:rsidR="002D10E1" w:rsidRPr="002D10E1">
        <w:rPr>
          <w:sz w:val="20"/>
          <w:szCs w:val="20"/>
        </w:rPr>
        <w:t>GM computer code [3] based on Eikonal approximation for calculating the one-neutron removal cross section and LMD of core fragment.  This code strongly depends upon nucleon-nucleon (NN) interactions and relevant nuclear densities as inputs to calculate the total one neutron removal cross section</w:t>
      </w:r>
      <w:r w:rsidR="002D10E1">
        <w:rPr>
          <w:sz w:val="20"/>
          <w:szCs w:val="20"/>
        </w:rPr>
        <w:t>.</w:t>
      </w:r>
      <w:r w:rsidR="002D10E1">
        <w:t xml:space="preserve"> </w:t>
      </w:r>
      <w:r w:rsidRPr="00B3101B">
        <w:rPr>
          <w:color w:val="0E101A"/>
          <w:sz w:val="20"/>
          <w:szCs w:val="20"/>
        </w:rPr>
        <w:t>The predicted one-neutron removal cross-section and LMD width are lying close to the experimental results when one of these configurations    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1/2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-</m:t>
            </m:r>
          </m:sup>
        </m:sSubSup>
      </m:oMath>
      <w:r w:rsidRPr="00B3101B"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⨂</m:t>
        </m:r>
      </m:oMath>
      <w:r w:rsidRPr="00B3101B"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1/2</m:t>
            </m:r>
          </m:sub>
        </m:sSub>
      </m:oMath>
      <w:r w:rsidRPr="00B3101B">
        <w:rPr>
          <w:rFonts w:eastAsiaTheme="minorEastAsia"/>
          <w:sz w:val="20"/>
          <w:szCs w:val="20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J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π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0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</m:t>
            </m:r>
          </m:sup>
        </m:sSup>
      </m:oMath>
      <w:r w:rsidRPr="00B3101B">
        <w:rPr>
          <w:rFonts w:eastAsiaTheme="minorEastAsia"/>
          <w:sz w:val="20"/>
          <w:szCs w:val="20"/>
        </w:rPr>
        <w:t>)</w:t>
      </w:r>
      <w:r w:rsidRPr="00B3101B">
        <w:rPr>
          <w:color w:val="0E101A"/>
          <w:sz w:val="20"/>
          <w:szCs w:val="20"/>
        </w:rPr>
        <w:t>,   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1/2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-</m:t>
            </m:r>
          </m:sup>
        </m:sSubSup>
      </m:oMath>
      <w:r w:rsidRPr="00B3101B"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⨂</m:t>
        </m:r>
      </m:oMath>
      <w:r w:rsidRPr="00B3101B"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1/2</m:t>
            </m:r>
          </m:sub>
        </m:sSub>
      </m:oMath>
      <w:r w:rsidRPr="00B3101B">
        <w:rPr>
          <w:rFonts w:eastAsiaTheme="minorEastAsia"/>
          <w:sz w:val="20"/>
          <w:szCs w:val="20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J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π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</m:t>
            </m:r>
          </m:sup>
        </m:sSup>
      </m:oMath>
      <w:r w:rsidRPr="00B3101B">
        <w:rPr>
          <w:rFonts w:eastAsiaTheme="minorEastAsia"/>
          <w:sz w:val="20"/>
          <w:szCs w:val="20"/>
        </w:rPr>
        <w:t>)</w:t>
      </w:r>
      <w:r w:rsidRPr="00B3101B">
        <w:rPr>
          <w:color w:val="0E101A"/>
          <w:sz w:val="20"/>
          <w:szCs w:val="20"/>
        </w:rPr>
        <w:t xml:space="preserve"> </w:t>
      </w:r>
      <w:r w:rsidRPr="00B3101B">
        <w:rPr>
          <w:rFonts w:eastAsiaTheme="minorEastAsia"/>
          <w:sz w:val="20"/>
          <w:szCs w:val="20"/>
        </w:rPr>
        <w:t xml:space="preserve">and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3/2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-</m:t>
            </m:r>
          </m:sup>
        </m:sSubSup>
      </m:oMath>
      <w:r w:rsidRPr="00B3101B"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⨂</m:t>
        </m:r>
      </m:oMath>
      <w:r w:rsidRPr="00B3101B">
        <w:rPr>
          <w:rFonts w:eastAsiaTheme="minorEastAsi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1/2</m:t>
            </m:r>
          </m:sub>
        </m:sSub>
      </m:oMath>
      <w:r w:rsidRPr="00B3101B">
        <w:rPr>
          <w:rFonts w:eastAsiaTheme="minorEastAsia"/>
          <w:sz w:val="20"/>
          <w:szCs w:val="20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J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π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-</m:t>
            </m:r>
          </m:sup>
        </m:sSup>
      </m:oMath>
      <w:r w:rsidRPr="00B3101B">
        <w:rPr>
          <w:rFonts w:eastAsiaTheme="minorEastAsia"/>
          <w:sz w:val="20"/>
          <w:szCs w:val="20"/>
        </w:rPr>
        <w:t>)</w:t>
      </w:r>
      <w:r w:rsidR="00B3101B" w:rsidRPr="00B3101B">
        <w:rPr>
          <w:rFonts w:eastAsiaTheme="minorEastAsia"/>
          <w:sz w:val="20"/>
          <w:szCs w:val="20"/>
        </w:rPr>
        <w:t xml:space="preserve"> [4</w:t>
      </w:r>
      <w:r w:rsidR="002D10E1">
        <w:rPr>
          <w:rFonts w:eastAsiaTheme="minorEastAsia"/>
          <w:sz w:val="20"/>
          <w:szCs w:val="20"/>
        </w:rPr>
        <w:t>,5</w:t>
      </w:r>
      <w:r w:rsidR="00B3101B" w:rsidRPr="00B3101B">
        <w:rPr>
          <w:rFonts w:eastAsiaTheme="minorEastAsia"/>
          <w:sz w:val="20"/>
          <w:szCs w:val="20"/>
        </w:rPr>
        <w:t>]</w:t>
      </w:r>
      <w:r w:rsidRPr="00B3101B">
        <w:rPr>
          <w:rFonts w:eastAsiaTheme="minorEastAsia"/>
          <w:sz w:val="20"/>
          <w:szCs w:val="20"/>
        </w:rPr>
        <w:t xml:space="preserve"> </w:t>
      </w:r>
      <w:r w:rsidRPr="00B3101B">
        <w:rPr>
          <w:color w:val="0E101A"/>
          <w:sz w:val="20"/>
          <w:szCs w:val="20"/>
        </w:rPr>
        <w:t xml:space="preserve">represents the structure of </w:t>
      </w:r>
      <w:r w:rsidRPr="00B3101B">
        <w:rPr>
          <w:color w:val="0E101A"/>
          <w:sz w:val="20"/>
          <w:szCs w:val="20"/>
          <w:vertAlign w:val="superscript"/>
        </w:rPr>
        <w:t>22</w:t>
      </w:r>
      <w:r w:rsidRPr="00B3101B">
        <w:rPr>
          <w:color w:val="0E101A"/>
          <w:sz w:val="20"/>
          <w:szCs w:val="20"/>
        </w:rPr>
        <w:t>N.</w:t>
      </w:r>
    </w:p>
    <w:p w14:paraId="1E726F6D" w14:textId="46B7ADC5" w:rsidR="00C049FE" w:rsidRPr="00686BF0" w:rsidRDefault="00686BF0" w:rsidP="003A630C">
      <w:pPr>
        <w:pStyle w:val="NormalWeb"/>
        <w:spacing w:before="0" w:beforeAutospacing="0" w:after="0" w:afterAutospacing="0"/>
        <w:jc w:val="both"/>
        <w:rPr>
          <w:color w:val="0E101A"/>
          <w:sz w:val="16"/>
          <w:szCs w:val="16"/>
        </w:rPr>
      </w:pPr>
      <w:r w:rsidRPr="00686BF0">
        <w:rPr>
          <w:sz w:val="20"/>
          <w:szCs w:val="20"/>
        </w:rPr>
        <w:t xml:space="preserve">Further, it is asserted that the measured LMD width has been reproduced by considering the admixture of </w:t>
      </w:r>
      <w:r w:rsidRPr="00686BF0">
        <w:rPr>
          <w:rStyle w:val="Emphasis"/>
          <w:color w:val="0E101A"/>
          <w:sz w:val="20"/>
          <w:szCs w:val="20"/>
        </w:rPr>
        <w:t>the s</w:t>
      </w:r>
      <w:r w:rsidRPr="00686BF0">
        <w:rPr>
          <w:sz w:val="20"/>
          <w:szCs w:val="20"/>
        </w:rPr>
        <w:t xml:space="preserve"> state (70-90%) with </w:t>
      </w:r>
      <w:r w:rsidRPr="00686BF0">
        <w:rPr>
          <w:rStyle w:val="Emphasis"/>
          <w:color w:val="0E101A"/>
          <w:sz w:val="20"/>
          <w:szCs w:val="20"/>
        </w:rPr>
        <w:t xml:space="preserve">the d </w:t>
      </w:r>
      <w:r w:rsidRPr="00686BF0">
        <w:rPr>
          <w:sz w:val="20"/>
          <w:szCs w:val="20"/>
        </w:rPr>
        <w:t>state (30-10%). So, from these results, we concluded that an admixture of the s and d state configurations reproduced the experimental data.</w:t>
      </w:r>
    </w:p>
    <w:p w14:paraId="2610408A" w14:textId="77777777" w:rsidR="00B3101B" w:rsidRPr="00B3101B" w:rsidRDefault="00B3101B" w:rsidP="00B3101B">
      <w:pPr>
        <w:spacing w:after="116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101B">
        <w:rPr>
          <w:rFonts w:ascii="Times New Roman" w:eastAsia="Cambria" w:hAnsi="Times New Roman" w:cs="Times New Roman"/>
          <w:b/>
          <w:sz w:val="20"/>
          <w:szCs w:val="20"/>
        </w:rPr>
        <w:t>References</w:t>
      </w:r>
    </w:p>
    <w:p w14:paraId="539A1A6C" w14:textId="77777777" w:rsidR="00B3101B" w:rsidRPr="002D10E1" w:rsidRDefault="00B3101B" w:rsidP="002D10E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</w:pPr>
      <w:r w:rsidRPr="002D10E1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 xml:space="preserve">Ozawa </w:t>
      </w:r>
      <w:r w:rsidRPr="002D10E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IN"/>
        </w:rPr>
        <w:t>et al.</w:t>
      </w:r>
      <w:r w:rsidRPr="002D10E1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 xml:space="preserve">, Nucl. Phys. A </w:t>
      </w:r>
      <w:r w:rsidRPr="002D10E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IN"/>
        </w:rPr>
        <w:t>691</w:t>
      </w:r>
      <w:r w:rsidRPr="002D10E1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>, 599 (2001).</w:t>
      </w:r>
    </w:p>
    <w:p w14:paraId="459ABC2A" w14:textId="5B1BC67A" w:rsidR="00B3101B" w:rsidRPr="002D10E1" w:rsidRDefault="00B3101B" w:rsidP="002D10E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E101A"/>
          <w:sz w:val="20"/>
          <w:szCs w:val="20"/>
        </w:rPr>
      </w:pPr>
      <w:r w:rsidRPr="002D10E1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 xml:space="preserve">C. Rodriguez-Tajes </w:t>
      </w:r>
      <w:r w:rsidRPr="002D10E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IN"/>
        </w:rPr>
        <w:t>et al.</w:t>
      </w:r>
      <w:r w:rsidRPr="002D10E1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 xml:space="preserve">, Phys. Rev. C </w:t>
      </w:r>
      <w:r w:rsidRPr="002D10E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IN"/>
        </w:rPr>
        <w:t>83</w:t>
      </w:r>
      <w:r w:rsidRPr="002D10E1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>, 064313 (2011).</w:t>
      </w:r>
    </w:p>
    <w:p w14:paraId="1AB37BA3" w14:textId="36F5757B" w:rsidR="002D10E1" w:rsidRPr="002D10E1" w:rsidRDefault="002D10E1" w:rsidP="002D10E1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10E1">
        <w:rPr>
          <w:rFonts w:ascii="Times New Roman" w:hAnsi="Times New Roman" w:cs="Times New Roman"/>
          <w:noProof/>
          <w:sz w:val="20"/>
          <w:szCs w:val="20"/>
        </w:rPr>
        <w:t xml:space="preserve">B. Abu-Ibrahim et. al., Comp. Phys. Comm. </w:t>
      </w:r>
      <w:r w:rsidRPr="002D10E1">
        <w:rPr>
          <w:rFonts w:ascii="Times New Roman" w:hAnsi="Times New Roman" w:cs="Times New Roman"/>
          <w:b/>
          <w:bCs/>
          <w:noProof/>
          <w:sz w:val="20"/>
          <w:szCs w:val="20"/>
        </w:rPr>
        <w:t>151</w:t>
      </w:r>
      <w:r w:rsidRPr="002D10E1">
        <w:rPr>
          <w:rFonts w:ascii="Times New Roman" w:hAnsi="Times New Roman" w:cs="Times New Roman"/>
          <w:noProof/>
          <w:sz w:val="20"/>
          <w:szCs w:val="20"/>
        </w:rPr>
        <w:t>, 369 (2003).</w:t>
      </w:r>
    </w:p>
    <w:p w14:paraId="4A2F3556" w14:textId="77777777" w:rsidR="00B3101B" w:rsidRPr="002D10E1" w:rsidRDefault="00B3101B" w:rsidP="002D10E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</w:pPr>
      <w:r w:rsidRPr="002D10E1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 xml:space="preserve">D. Sohler </w:t>
      </w:r>
      <w:r w:rsidRPr="002D10E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IN"/>
        </w:rPr>
        <w:t>et al.</w:t>
      </w:r>
      <w:r w:rsidRPr="002D10E1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 xml:space="preserve">, Phys. Rev. C </w:t>
      </w:r>
      <w:r w:rsidRPr="002D10E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IN"/>
        </w:rPr>
        <w:t>77</w:t>
      </w:r>
      <w:r w:rsidRPr="002D10E1">
        <w:rPr>
          <w:rFonts w:ascii="Times New Roman" w:hAnsi="Times New Roman" w:cs="Times New Roman"/>
          <w:color w:val="000000" w:themeColor="text1"/>
          <w:sz w:val="20"/>
          <w:szCs w:val="20"/>
          <w:lang w:val="en-IN"/>
        </w:rPr>
        <w:t>, 044303 (2008).</w:t>
      </w:r>
    </w:p>
    <w:p w14:paraId="2118A99A" w14:textId="311FDE56" w:rsidR="00B3101B" w:rsidRPr="002D10E1" w:rsidRDefault="00000000" w:rsidP="002D10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7" w:history="1">
        <w:r w:rsidR="00B3101B" w:rsidRPr="002D10E1">
          <w:rPr>
            <w:rStyle w:val="Hyperlink"/>
            <w:rFonts w:ascii="Times New Roman" w:eastAsiaTheme="minorEastAsia" w:hAnsi="Times New Roman" w:cs="Times New Roman"/>
            <w:bCs/>
            <w:color w:val="000000" w:themeColor="text1"/>
            <w:sz w:val="20"/>
            <w:szCs w:val="20"/>
            <w:u w:val="none"/>
          </w:rPr>
          <w:t>https://www-nds.iaea.org</w:t>
        </w:r>
      </w:hyperlink>
      <w:r w:rsidR="00B3101B" w:rsidRPr="002D10E1"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</w:rPr>
        <w:t>.</w:t>
      </w:r>
    </w:p>
    <w:sectPr w:rsidR="00B3101B" w:rsidRPr="002D10E1" w:rsidSect="00085DE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7218" w14:textId="77777777" w:rsidR="008A1FDF" w:rsidRDefault="008A1FDF" w:rsidP="00555B3F">
      <w:pPr>
        <w:spacing w:after="0" w:line="240" w:lineRule="auto"/>
      </w:pPr>
      <w:r>
        <w:separator/>
      </w:r>
    </w:p>
  </w:endnote>
  <w:endnote w:type="continuationSeparator" w:id="0">
    <w:p w14:paraId="241F84C5" w14:textId="77777777" w:rsidR="008A1FDF" w:rsidRDefault="008A1FDF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A6CA" w14:textId="77777777" w:rsidR="008A1FDF" w:rsidRDefault="008A1FDF" w:rsidP="00555B3F">
      <w:pPr>
        <w:spacing w:after="0" w:line="240" w:lineRule="auto"/>
      </w:pPr>
      <w:r>
        <w:separator/>
      </w:r>
    </w:p>
  </w:footnote>
  <w:footnote w:type="continuationSeparator" w:id="0">
    <w:p w14:paraId="7EB3F699" w14:textId="77777777" w:rsidR="008A1FDF" w:rsidRDefault="008A1FDF" w:rsidP="0055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443"/>
    <w:multiLevelType w:val="hybridMultilevel"/>
    <w:tmpl w:val="FE1404F0"/>
    <w:lvl w:ilvl="0" w:tplc="5DFAD22C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1EC"/>
    <w:multiLevelType w:val="hybridMultilevel"/>
    <w:tmpl w:val="66CAE472"/>
    <w:lvl w:ilvl="0" w:tplc="99EA435C">
      <w:start w:val="1"/>
      <w:numFmt w:val="decimal"/>
      <w:lvlText w:val="[%1]"/>
      <w:lvlJc w:val="left"/>
      <w:pPr>
        <w:ind w:left="3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8919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A102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805C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24B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0C2C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4FF3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0D26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E252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B297C"/>
    <w:multiLevelType w:val="hybridMultilevel"/>
    <w:tmpl w:val="533A2A68"/>
    <w:lvl w:ilvl="0" w:tplc="5DFAD22C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A0537"/>
    <w:multiLevelType w:val="hybridMultilevel"/>
    <w:tmpl w:val="D18A171E"/>
    <w:lvl w:ilvl="0" w:tplc="0E44CB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0092A"/>
    <w:multiLevelType w:val="hybridMultilevel"/>
    <w:tmpl w:val="69FC67C8"/>
    <w:lvl w:ilvl="0" w:tplc="5DFAD22C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A6390"/>
    <w:multiLevelType w:val="hybridMultilevel"/>
    <w:tmpl w:val="574697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3814">
    <w:abstractNumId w:val="4"/>
  </w:num>
  <w:num w:numId="2" w16cid:durableId="1407531517">
    <w:abstractNumId w:val="1"/>
  </w:num>
  <w:num w:numId="3" w16cid:durableId="122504936">
    <w:abstractNumId w:val="0"/>
  </w:num>
  <w:num w:numId="4" w16cid:durableId="1669677024">
    <w:abstractNumId w:val="6"/>
  </w:num>
  <w:num w:numId="5" w16cid:durableId="991568337">
    <w:abstractNumId w:val="3"/>
  </w:num>
  <w:num w:numId="6" w16cid:durableId="1045520314">
    <w:abstractNumId w:val="5"/>
  </w:num>
  <w:num w:numId="7" w16cid:durableId="1813710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5"/>
    <w:rsid w:val="00085DE8"/>
    <w:rsid w:val="000B5DEE"/>
    <w:rsid w:val="000C535F"/>
    <w:rsid w:val="00111255"/>
    <w:rsid w:val="001A3297"/>
    <w:rsid w:val="002119A2"/>
    <w:rsid w:val="0022054C"/>
    <w:rsid w:val="002D10E1"/>
    <w:rsid w:val="0031389B"/>
    <w:rsid w:val="003A630C"/>
    <w:rsid w:val="00445FD5"/>
    <w:rsid w:val="00500223"/>
    <w:rsid w:val="00555B3F"/>
    <w:rsid w:val="005E1309"/>
    <w:rsid w:val="00653740"/>
    <w:rsid w:val="00686BF0"/>
    <w:rsid w:val="006B0D92"/>
    <w:rsid w:val="006D5C7B"/>
    <w:rsid w:val="00700EC6"/>
    <w:rsid w:val="0074100A"/>
    <w:rsid w:val="00834CCA"/>
    <w:rsid w:val="00840C48"/>
    <w:rsid w:val="008A0E69"/>
    <w:rsid w:val="008A1FDF"/>
    <w:rsid w:val="008D370C"/>
    <w:rsid w:val="00AC7E3F"/>
    <w:rsid w:val="00B3101B"/>
    <w:rsid w:val="00C049FE"/>
    <w:rsid w:val="00C44E04"/>
    <w:rsid w:val="00D90CEC"/>
    <w:rsid w:val="00E06F75"/>
    <w:rsid w:val="00E57EE2"/>
    <w:rsid w:val="00EB26B9"/>
    <w:rsid w:val="00F37B39"/>
    <w:rsid w:val="00F66D5D"/>
    <w:rsid w:val="00F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8710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D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7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B3F"/>
  </w:style>
  <w:style w:type="paragraph" w:styleId="Footer">
    <w:name w:val="footer"/>
    <w:basedOn w:val="Normal"/>
    <w:link w:val="FooterChar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B3F"/>
  </w:style>
  <w:style w:type="paragraph" w:styleId="NormalWeb">
    <w:name w:val="Normal (Web)"/>
    <w:basedOn w:val="Normal"/>
    <w:uiPriority w:val="99"/>
    <w:unhideWhenUsed/>
    <w:rsid w:val="003A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3A6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-nds.ia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Surender Kaliraman</cp:lastModifiedBy>
  <cp:revision>6</cp:revision>
  <dcterms:created xsi:type="dcterms:W3CDTF">2024-07-24T12:43:00Z</dcterms:created>
  <dcterms:modified xsi:type="dcterms:W3CDTF">2024-08-08T13:11:00Z</dcterms:modified>
</cp:coreProperties>
</file>