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6F9A6" w14:textId="570C7BBD" w:rsidR="00184AB8" w:rsidRPr="000449D1" w:rsidRDefault="00061915" w:rsidP="00C0558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  <w:r w:rsidRPr="000449D1">
        <w:rPr>
          <w:b/>
          <w:caps/>
          <w:sz w:val="20"/>
          <w:szCs w:val="20"/>
          <w:lang w:val="en-US"/>
        </w:rPr>
        <w:t xml:space="preserve">Study of total cross sections for the reactions </w:t>
      </w:r>
      <w:r w:rsidRPr="000449D1">
        <w:rPr>
          <w:b/>
          <w:sz w:val="20"/>
          <w:szCs w:val="20"/>
          <w:vertAlign w:val="superscript"/>
          <w:lang w:val="en-US"/>
        </w:rPr>
        <w:t>10,11,12</w:t>
      </w:r>
      <w:r w:rsidRPr="000449D1">
        <w:rPr>
          <w:b/>
          <w:sz w:val="20"/>
          <w:szCs w:val="20"/>
          <w:lang w:val="en-US"/>
        </w:rPr>
        <w:t>Be+</w:t>
      </w:r>
      <w:r w:rsidRPr="000449D1">
        <w:rPr>
          <w:b/>
          <w:sz w:val="20"/>
          <w:szCs w:val="20"/>
          <w:vertAlign w:val="superscript"/>
          <w:lang w:val="en-US"/>
        </w:rPr>
        <w:t>28</w:t>
      </w:r>
      <w:r w:rsidRPr="000449D1">
        <w:rPr>
          <w:b/>
          <w:sz w:val="20"/>
          <w:szCs w:val="20"/>
          <w:lang w:val="en-US"/>
        </w:rPr>
        <w:t>Si</w:t>
      </w:r>
    </w:p>
    <w:p w14:paraId="377CB930" w14:textId="77777777" w:rsidR="00C05584" w:rsidRPr="000449D1" w:rsidRDefault="00C05584" w:rsidP="00C0558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14:paraId="51CDE100" w14:textId="77777777" w:rsidR="00DD5DC6" w:rsidRPr="000449D1" w:rsidRDefault="00DD5DC6" w:rsidP="00C0558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14:paraId="3DEABE20" w14:textId="5E521CD2" w:rsidR="00077BC8" w:rsidRPr="000449D1" w:rsidRDefault="00C05584" w:rsidP="00C0558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  <w:lang w:val="en-US"/>
        </w:rPr>
      </w:pPr>
      <w:r w:rsidRPr="000449D1">
        <w:rPr>
          <w:sz w:val="20"/>
          <w:szCs w:val="20"/>
          <w:lang w:val="en-US"/>
        </w:rPr>
        <w:t>Naumenko M.A.</w:t>
      </w:r>
      <w:r w:rsidRPr="000449D1">
        <w:rPr>
          <w:sz w:val="20"/>
          <w:szCs w:val="20"/>
          <w:vertAlign w:val="superscript"/>
          <w:lang w:val="en-US"/>
        </w:rPr>
        <w:t>1</w:t>
      </w:r>
      <w:r w:rsidRPr="000449D1">
        <w:rPr>
          <w:sz w:val="20"/>
          <w:szCs w:val="20"/>
          <w:lang w:val="en-US"/>
        </w:rPr>
        <w:t xml:space="preserve">, </w:t>
      </w:r>
      <w:r w:rsidR="00061915" w:rsidRPr="000449D1">
        <w:rPr>
          <w:sz w:val="20"/>
          <w:szCs w:val="20"/>
          <w:lang w:val="en-US"/>
        </w:rPr>
        <w:t>Samarin V.V.</w:t>
      </w:r>
      <w:r w:rsidR="00061915" w:rsidRPr="000449D1">
        <w:rPr>
          <w:sz w:val="20"/>
          <w:szCs w:val="20"/>
          <w:vertAlign w:val="superscript"/>
          <w:lang w:val="en-US"/>
        </w:rPr>
        <w:t>1,2</w:t>
      </w:r>
      <w:r w:rsidR="00061915" w:rsidRPr="000449D1">
        <w:rPr>
          <w:sz w:val="20"/>
          <w:szCs w:val="20"/>
          <w:lang w:val="en-US"/>
        </w:rPr>
        <w:t xml:space="preserve">, </w:t>
      </w:r>
      <w:r w:rsidR="002150C3" w:rsidRPr="000449D1">
        <w:rPr>
          <w:sz w:val="20"/>
          <w:szCs w:val="20"/>
          <w:lang w:val="en-US"/>
        </w:rPr>
        <w:t>Sobolev Yu.G.</w:t>
      </w:r>
      <w:r w:rsidR="002150C3" w:rsidRPr="000449D1">
        <w:rPr>
          <w:sz w:val="20"/>
          <w:szCs w:val="20"/>
          <w:vertAlign w:val="superscript"/>
          <w:lang w:val="en-US"/>
        </w:rPr>
        <w:t>1</w:t>
      </w:r>
      <w:r w:rsidR="002150C3" w:rsidRPr="000449D1">
        <w:rPr>
          <w:sz w:val="20"/>
          <w:szCs w:val="20"/>
          <w:lang w:val="en-US"/>
        </w:rPr>
        <w:t xml:space="preserve">, </w:t>
      </w:r>
      <w:r w:rsidR="00061915" w:rsidRPr="000449D1">
        <w:rPr>
          <w:sz w:val="20"/>
          <w:szCs w:val="20"/>
          <w:lang w:val="en-US"/>
        </w:rPr>
        <w:t>Stukalov S.S.</w:t>
      </w:r>
      <w:r w:rsidR="00061915" w:rsidRPr="000449D1">
        <w:rPr>
          <w:sz w:val="20"/>
          <w:szCs w:val="20"/>
          <w:vertAlign w:val="superscript"/>
          <w:lang w:val="en-US"/>
        </w:rPr>
        <w:t>1,</w:t>
      </w:r>
      <w:r w:rsidR="00CC6CA5">
        <w:rPr>
          <w:sz w:val="20"/>
          <w:szCs w:val="20"/>
          <w:vertAlign w:val="superscript"/>
          <w:lang w:val="en-US"/>
        </w:rPr>
        <w:t>3</w:t>
      </w:r>
      <w:r w:rsidR="00CC6CA5" w:rsidRPr="000449D1">
        <w:rPr>
          <w:sz w:val="20"/>
          <w:szCs w:val="20"/>
          <w:lang w:val="en-US"/>
        </w:rPr>
        <w:t>,</w:t>
      </w:r>
      <w:r w:rsidR="00CC6CA5">
        <w:rPr>
          <w:sz w:val="20"/>
          <w:szCs w:val="20"/>
          <w:lang w:val="en-US"/>
        </w:rPr>
        <w:t xml:space="preserve"> </w:t>
      </w:r>
      <w:r w:rsidR="00CC6CA5" w:rsidRPr="000449D1">
        <w:rPr>
          <w:sz w:val="20"/>
          <w:szCs w:val="20"/>
          <w:lang w:val="en-US"/>
        </w:rPr>
        <w:t>Penionzhkevich Yu.E.</w:t>
      </w:r>
      <w:r w:rsidR="00CC6CA5" w:rsidRPr="000449D1">
        <w:rPr>
          <w:sz w:val="20"/>
          <w:szCs w:val="20"/>
          <w:vertAlign w:val="superscript"/>
          <w:lang w:val="en-US"/>
        </w:rPr>
        <w:t>1,</w:t>
      </w:r>
      <w:r w:rsidR="00CC6CA5">
        <w:rPr>
          <w:sz w:val="20"/>
          <w:szCs w:val="20"/>
          <w:vertAlign w:val="superscript"/>
          <w:lang w:val="en-US"/>
        </w:rPr>
        <w:t>4</w:t>
      </w:r>
    </w:p>
    <w:p w14:paraId="4D2195C5" w14:textId="77777777" w:rsidR="00061915" w:rsidRPr="000449D1" w:rsidRDefault="00061915" w:rsidP="00C0558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14:paraId="1A3074C3" w14:textId="77777777" w:rsidR="00061915" w:rsidRPr="000449D1" w:rsidRDefault="00C775A5" w:rsidP="00C05584">
      <w:pPr>
        <w:widowControl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val="en-US"/>
        </w:rPr>
      </w:pPr>
      <w:r w:rsidRPr="000449D1">
        <w:rPr>
          <w:i/>
          <w:iCs/>
          <w:sz w:val="20"/>
          <w:szCs w:val="20"/>
          <w:vertAlign w:val="superscript"/>
          <w:lang w:val="en-US"/>
        </w:rPr>
        <w:t>1</w:t>
      </w:r>
      <w:r w:rsidR="00D8568F" w:rsidRPr="000449D1">
        <w:rPr>
          <w:i/>
          <w:iCs/>
          <w:sz w:val="20"/>
          <w:szCs w:val="20"/>
          <w:lang w:val="en-US"/>
        </w:rPr>
        <w:t> Flerov Laboratory of Nuclear Reactions, Joint Institute for Nuclear Research, Dubna, Russia</w:t>
      </w:r>
    </w:p>
    <w:p w14:paraId="7C289AF4" w14:textId="77777777" w:rsidR="00061915" w:rsidRPr="000449D1" w:rsidRDefault="00061915" w:rsidP="00C05584">
      <w:pPr>
        <w:widowControl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val="en-US"/>
        </w:rPr>
      </w:pPr>
      <w:r w:rsidRPr="000449D1">
        <w:rPr>
          <w:i/>
          <w:iCs/>
          <w:sz w:val="20"/>
          <w:szCs w:val="20"/>
          <w:vertAlign w:val="superscript"/>
          <w:lang w:val="en-US"/>
        </w:rPr>
        <w:t>2</w:t>
      </w:r>
      <w:r w:rsidRPr="000449D1">
        <w:rPr>
          <w:i/>
          <w:iCs/>
          <w:sz w:val="20"/>
          <w:szCs w:val="20"/>
          <w:lang w:val="en-US"/>
        </w:rPr>
        <w:t> Department of Nuclear Physics, Dubna State University, Dubna, Russia</w:t>
      </w:r>
    </w:p>
    <w:p w14:paraId="499A1402" w14:textId="583FBA60" w:rsidR="00CC6CA5" w:rsidRPr="000449D1" w:rsidRDefault="00CC6CA5" w:rsidP="00CC6CA5">
      <w:pPr>
        <w:widowControl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vertAlign w:val="superscript"/>
          <w:lang w:val="en-US"/>
        </w:rPr>
        <w:t>3</w:t>
      </w:r>
      <w:r w:rsidRPr="000449D1">
        <w:rPr>
          <w:i/>
          <w:iCs/>
          <w:sz w:val="20"/>
          <w:szCs w:val="20"/>
          <w:lang w:val="en-US"/>
        </w:rPr>
        <w:t> Department of Nuclear Physics, Voronezh State University, Voronezh, Russia</w:t>
      </w:r>
    </w:p>
    <w:p w14:paraId="2065126D" w14:textId="1B307594" w:rsidR="00061915" w:rsidRPr="000449D1" w:rsidRDefault="00CC6CA5" w:rsidP="00C05584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lang w:val="en-US"/>
        </w:rPr>
      </w:pPr>
      <w:r>
        <w:rPr>
          <w:i/>
          <w:iCs/>
          <w:sz w:val="20"/>
          <w:szCs w:val="20"/>
          <w:vertAlign w:val="superscript"/>
          <w:lang w:val="en-US"/>
        </w:rPr>
        <w:t>4</w:t>
      </w:r>
      <w:r w:rsidR="00C775A5" w:rsidRPr="000449D1">
        <w:rPr>
          <w:i/>
          <w:sz w:val="20"/>
          <w:szCs w:val="20"/>
          <w:lang w:val="en-US"/>
        </w:rPr>
        <w:t> </w:t>
      </w:r>
      <w:r w:rsidR="00D8568F" w:rsidRPr="000449D1">
        <w:rPr>
          <w:i/>
          <w:sz w:val="20"/>
          <w:szCs w:val="20"/>
          <w:lang w:val="en-US"/>
        </w:rPr>
        <w:t>Department of Experimental Methods in Nuclear Physics, National Research Nuclear University, Moscow, Russia</w:t>
      </w:r>
    </w:p>
    <w:p w14:paraId="400719D6" w14:textId="1EADFF1A" w:rsidR="009E098D" w:rsidRPr="000449D1" w:rsidRDefault="004853C9" w:rsidP="00C0558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0449D1">
        <w:rPr>
          <w:sz w:val="20"/>
          <w:szCs w:val="20"/>
          <w:lang w:val="en-US"/>
        </w:rPr>
        <w:t>E-mail: anaumenko@jinr.ru</w:t>
      </w:r>
    </w:p>
    <w:p w14:paraId="7F3B1DE7" w14:textId="77777777" w:rsidR="00C05584" w:rsidRPr="000449D1" w:rsidRDefault="00C05584" w:rsidP="00C0558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14:paraId="1420539A" w14:textId="77777777" w:rsidR="004853C9" w:rsidRPr="000449D1" w:rsidRDefault="004853C9" w:rsidP="00C0558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14:paraId="1BC26EAD" w14:textId="77777777" w:rsidR="00B167C4" w:rsidRPr="000449D1" w:rsidRDefault="0078477C" w:rsidP="0078477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en-US"/>
        </w:rPr>
      </w:pPr>
      <w:r w:rsidRPr="000449D1">
        <w:rPr>
          <w:sz w:val="20"/>
          <w:szCs w:val="20"/>
          <w:lang w:val="en-US"/>
        </w:rPr>
        <w:t>The study of the total cross sections for the reactions involving neutron-rich weakly bound nuclei at low and intermediate energies makes it possible to obtain information on their structure (halo, skin, effective matter radii) and its man</w:t>
      </w:r>
      <w:r w:rsidRPr="000449D1">
        <w:rPr>
          <w:sz w:val="20"/>
          <w:szCs w:val="20"/>
          <w:lang w:val="en-US"/>
        </w:rPr>
        <w:t xml:space="preserve">ifestation in nuclear reactions </w:t>
      </w:r>
      <w:r w:rsidRPr="000449D1">
        <w:rPr>
          <w:sz w:val="20"/>
          <w:szCs w:val="20"/>
          <w:lang w:val="en-US"/>
        </w:rPr>
        <w:t>[1, 2].</w:t>
      </w:r>
    </w:p>
    <w:p w14:paraId="2418BA8C" w14:textId="433062E4" w:rsidR="0078477C" w:rsidRPr="000449D1" w:rsidRDefault="0078477C" w:rsidP="0078477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en-US"/>
        </w:rPr>
      </w:pPr>
      <w:r w:rsidRPr="000449D1">
        <w:rPr>
          <w:sz w:val="20"/>
          <w:szCs w:val="20"/>
          <w:lang w:val="en-US"/>
        </w:rPr>
        <w:t>In this work, w</w:t>
      </w:r>
      <w:r w:rsidRPr="000449D1">
        <w:rPr>
          <w:sz w:val="20"/>
          <w:szCs w:val="20"/>
          <w:lang w:val="en-US"/>
        </w:rPr>
        <w:t>e measured the total reaction cross sections for the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vertAlign w:val="superscript"/>
          <w:lang w:val="en-US"/>
        </w:rPr>
        <w:t>10,11,12</w:t>
      </w:r>
      <w:r w:rsidRPr="000449D1">
        <w:rPr>
          <w:sz w:val="20"/>
          <w:szCs w:val="20"/>
          <w:lang w:val="en-US"/>
        </w:rPr>
        <w:t xml:space="preserve">Be nuclei on the </w:t>
      </w:r>
      <w:r w:rsidRPr="000449D1">
        <w:rPr>
          <w:sz w:val="20"/>
          <w:szCs w:val="20"/>
          <w:vertAlign w:val="superscript"/>
          <w:lang w:val="en-US"/>
        </w:rPr>
        <w:t>28</w:t>
      </w:r>
      <w:r w:rsidRPr="000449D1">
        <w:rPr>
          <w:sz w:val="20"/>
          <w:szCs w:val="20"/>
          <w:lang w:val="en-US"/>
        </w:rPr>
        <w:t>Si target by the 4π method based on the registration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 xml:space="preserve">of the prompt γ </w:t>
      </w:r>
      <w:bookmarkStart w:id="0" w:name="_GoBack"/>
      <w:bookmarkEnd w:id="0"/>
      <w:r w:rsidRPr="000449D1">
        <w:rPr>
          <w:sz w:val="20"/>
          <w:szCs w:val="20"/>
          <w:lang w:val="en-US"/>
        </w:rPr>
        <w:t>quanta and neutrons accompanying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the interaction using the multidetector spectrometer. The procedure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of processing of the obtained experimental data was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based on taking into account the probability distribution of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the number of triggered spectrometer detectors</w:t>
      </w:r>
      <w:r w:rsidRPr="000449D1">
        <w:rPr>
          <w:sz w:val="20"/>
          <w:szCs w:val="20"/>
          <w:lang w:val="en-US"/>
        </w:rPr>
        <w:t xml:space="preserve"> [3]</w:t>
      </w:r>
      <w:r w:rsidRPr="000449D1">
        <w:rPr>
          <w:sz w:val="20"/>
          <w:szCs w:val="20"/>
          <w:lang w:val="en-US"/>
        </w:rPr>
        <w:t>.</w:t>
      </w:r>
      <w:r w:rsidRPr="000449D1">
        <w:rPr>
          <w:sz w:val="20"/>
          <w:szCs w:val="20"/>
          <w:lang w:val="en-US"/>
        </w:rPr>
        <w:t xml:space="preserve"> The obtained results are shown in </w:t>
      </w:r>
      <w:r w:rsidRPr="000449D1">
        <w:rPr>
          <w:sz w:val="20"/>
          <w:szCs w:val="20"/>
          <w:lang w:val="en-US"/>
        </w:rPr>
        <w:t>Fig. 1</w:t>
      </w:r>
      <w:r w:rsidRPr="000449D1">
        <w:rPr>
          <w:sz w:val="20"/>
          <w:szCs w:val="20"/>
          <w:lang w:val="en-US"/>
        </w:rPr>
        <w:t xml:space="preserve"> in comparison with the data from other studies and empirical Kox parametrization [</w:t>
      </w:r>
      <w:r w:rsidR="00B167C4" w:rsidRPr="000449D1">
        <w:rPr>
          <w:sz w:val="20"/>
          <w:szCs w:val="20"/>
          <w:lang w:val="en-US"/>
        </w:rPr>
        <w:t>4</w:t>
      </w:r>
      <w:r w:rsidRPr="000449D1">
        <w:rPr>
          <w:sz w:val="20"/>
          <w:szCs w:val="20"/>
          <w:lang w:val="en-US"/>
        </w:rPr>
        <w:t>].</w:t>
      </w:r>
    </w:p>
    <w:p w14:paraId="3AF258F2" w14:textId="18325DF7" w:rsidR="0078477C" w:rsidRPr="000449D1" w:rsidRDefault="0078477C" w:rsidP="0078477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en-US"/>
        </w:rPr>
      </w:pPr>
      <w:r w:rsidRPr="000449D1">
        <w:rPr>
          <w:sz w:val="20"/>
          <w:szCs w:val="20"/>
          <w:lang w:val="en-US"/>
        </w:rPr>
        <w:t>Based on the measured values of the total reaction cross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sections and the phenomenological optical model, the effective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 xml:space="preserve">matter radii of the </w:t>
      </w:r>
      <w:r w:rsidR="00B167C4" w:rsidRPr="000449D1">
        <w:rPr>
          <w:sz w:val="20"/>
          <w:szCs w:val="20"/>
          <w:vertAlign w:val="superscript"/>
          <w:lang w:val="en-US"/>
        </w:rPr>
        <w:t>10,11,12</w:t>
      </w:r>
      <w:r w:rsidR="00B167C4" w:rsidRPr="000449D1">
        <w:rPr>
          <w:sz w:val="20"/>
          <w:szCs w:val="20"/>
          <w:lang w:val="en-US"/>
        </w:rPr>
        <w:t xml:space="preserve">Be </w:t>
      </w:r>
      <w:r w:rsidRPr="000449D1">
        <w:rPr>
          <w:sz w:val="20"/>
          <w:szCs w:val="20"/>
          <w:lang w:val="en-US"/>
        </w:rPr>
        <w:t>nuclei were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determined. A new approach based on the combination of the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optical model with the modified optical potential and classical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trajectories was applied to the calculations of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the effective matter radii of the colliding nuclei</w:t>
      </w:r>
      <w:r w:rsidR="00CC6CA5" w:rsidRPr="00CC6CA5">
        <w:rPr>
          <w:sz w:val="20"/>
          <w:szCs w:val="20"/>
          <w:lang w:val="en-US"/>
        </w:rPr>
        <w:t xml:space="preserve"> </w:t>
      </w:r>
      <w:r w:rsidR="002150C3">
        <w:rPr>
          <w:sz w:val="20"/>
          <w:szCs w:val="20"/>
          <w:lang w:val="en-US"/>
        </w:rPr>
        <w:t xml:space="preserve">(details are given in </w:t>
      </w:r>
      <w:r w:rsidR="00CC6CA5" w:rsidRPr="000449D1">
        <w:rPr>
          <w:sz w:val="20"/>
          <w:szCs w:val="20"/>
          <w:lang w:val="en-US"/>
        </w:rPr>
        <w:t>[3]</w:t>
      </w:r>
      <w:r w:rsidR="002150C3">
        <w:rPr>
          <w:sz w:val="20"/>
          <w:szCs w:val="20"/>
          <w:lang w:val="en-US"/>
        </w:rPr>
        <w:t>)</w:t>
      </w:r>
      <w:r w:rsidR="00CC6CA5">
        <w:rPr>
          <w:sz w:val="20"/>
          <w:szCs w:val="20"/>
          <w:lang w:val="en-US"/>
        </w:rPr>
        <w:t>.</w:t>
      </w:r>
    </w:p>
    <w:p w14:paraId="0A4ACFBB" w14:textId="7935711B" w:rsidR="0078477C" w:rsidRPr="000449D1" w:rsidRDefault="0078477C" w:rsidP="0078477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en-US"/>
        </w:rPr>
      </w:pPr>
      <w:r w:rsidRPr="000449D1">
        <w:rPr>
          <w:sz w:val="20"/>
          <w:szCs w:val="20"/>
          <w:lang w:val="en-US"/>
        </w:rPr>
        <w:t>The total reaction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 xml:space="preserve">cross sections for the </w:t>
      </w:r>
      <w:r w:rsidRPr="000449D1">
        <w:rPr>
          <w:sz w:val="20"/>
          <w:szCs w:val="20"/>
          <w:vertAlign w:val="superscript"/>
          <w:lang w:val="en-US"/>
        </w:rPr>
        <w:t>11</w:t>
      </w:r>
      <w:r w:rsidRPr="000449D1">
        <w:rPr>
          <w:sz w:val="20"/>
          <w:szCs w:val="20"/>
          <w:lang w:val="en-US"/>
        </w:rPr>
        <w:t xml:space="preserve">Be nuclei are </w:t>
      </w:r>
      <w:r w:rsidR="00B167C4" w:rsidRPr="000449D1">
        <w:rPr>
          <w:sz w:val="20"/>
          <w:szCs w:val="20"/>
          <w:lang w:val="en-US"/>
        </w:rPr>
        <w:t xml:space="preserve">significantly </w:t>
      </w:r>
      <w:r w:rsidRPr="000449D1">
        <w:rPr>
          <w:sz w:val="20"/>
          <w:szCs w:val="20"/>
          <w:lang w:val="en-US"/>
        </w:rPr>
        <w:t xml:space="preserve">larger than those for </w:t>
      </w:r>
      <w:r w:rsidRPr="000449D1">
        <w:rPr>
          <w:sz w:val="20"/>
          <w:szCs w:val="20"/>
          <w:vertAlign w:val="superscript"/>
          <w:lang w:val="en-US"/>
        </w:rPr>
        <w:t>10</w:t>
      </w:r>
      <w:r w:rsidRPr="000449D1">
        <w:rPr>
          <w:sz w:val="20"/>
          <w:szCs w:val="20"/>
          <w:lang w:val="en-US"/>
        </w:rPr>
        <w:t>Be</w:t>
      </w:r>
      <w:r w:rsidR="00B167C4" w:rsidRPr="000449D1">
        <w:rPr>
          <w:sz w:val="20"/>
          <w:szCs w:val="20"/>
          <w:lang w:val="en-US"/>
        </w:rPr>
        <w:t>.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Along with the low value of the neutron separation energy (0.5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 xml:space="preserve">MeV) for </w:t>
      </w:r>
      <w:r w:rsidRPr="000449D1">
        <w:rPr>
          <w:sz w:val="20"/>
          <w:szCs w:val="20"/>
          <w:vertAlign w:val="superscript"/>
          <w:lang w:val="en-US"/>
        </w:rPr>
        <w:t>11</w:t>
      </w:r>
      <w:r w:rsidRPr="000449D1">
        <w:rPr>
          <w:sz w:val="20"/>
          <w:szCs w:val="20"/>
          <w:lang w:val="en-US"/>
        </w:rPr>
        <w:t>Be, it is an indication of its halo structure.</w:t>
      </w:r>
      <w:r w:rsidR="00B167C4"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 xml:space="preserve">The total reaction cross sections for the </w:t>
      </w:r>
      <w:r w:rsidRPr="000449D1">
        <w:rPr>
          <w:sz w:val="20"/>
          <w:szCs w:val="20"/>
          <w:vertAlign w:val="superscript"/>
          <w:lang w:val="en-US"/>
        </w:rPr>
        <w:t>12</w:t>
      </w:r>
      <w:r w:rsidRPr="000449D1">
        <w:rPr>
          <w:sz w:val="20"/>
          <w:szCs w:val="20"/>
          <w:lang w:val="en-US"/>
        </w:rPr>
        <w:t>Be nuclei are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 xml:space="preserve">larger than those for </w:t>
      </w:r>
      <w:r w:rsidRPr="000449D1">
        <w:rPr>
          <w:sz w:val="20"/>
          <w:szCs w:val="20"/>
          <w:vertAlign w:val="superscript"/>
          <w:lang w:val="en-US"/>
        </w:rPr>
        <w:t>10</w:t>
      </w:r>
      <w:r w:rsidRPr="000449D1">
        <w:rPr>
          <w:sz w:val="20"/>
          <w:szCs w:val="20"/>
          <w:lang w:val="en-US"/>
        </w:rPr>
        <w:t>Be</w:t>
      </w:r>
      <w:r w:rsidR="00B167C4" w:rsidRPr="000449D1">
        <w:rPr>
          <w:sz w:val="20"/>
          <w:szCs w:val="20"/>
          <w:lang w:val="en-US"/>
        </w:rPr>
        <w:t>.</w:t>
      </w:r>
      <w:r w:rsidRPr="000449D1">
        <w:rPr>
          <w:sz w:val="20"/>
          <w:szCs w:val="20"/>
          <w:lang w:val="en-US"/>
        </w:rPr>
        <w:t xml:space="preserve"> Along with the pairing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of two outer neutrons and the larger value of the neutron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 xml:space="preserve">separation energy (3.2 MeV) for </w:t>
      </w:r>
      <w:r w:rsidRPr="000449D1">
        <w:rPr>
          <w:sz w:val="20"/>
          <w:szCs w:val="20"/>
          <w:vertAlign w:val="superscript"/>
          <w:lang w:val="en-US"/>
        </w:rPr>
        <w:t>12</w:t>
      </w:r>
      <w:r w:rsidRPr="000449D1">
        <w:rPr>
          <w:sz w:val="20"/>
          <w:szCs w:val="20"/>
          <w:lang w:val="en-US"/>
        </w:rPr>
        <w:t>Be, it is an indication of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its more compact outer shell (compared to a halo) which can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be called a skin.</w:t>
      </w:r>
    </w:p>
    <w:p w14:paraId="1F9D6F3F" w14:textId="2B178198" w:rsidR="00906CAF" w:rsidRPr="000449D1" w:rsidRDefault="00906CAF" w:rsidP="004E459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C0FF61A" w14:textId="4158A5F6" w:rsidR="00862BB3" w:rsidRDefault="00DA6E63" w:rsidP="00CC6CA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0449D1">
        <w:rPr>
          <w:noProof/>
          <w:lang w:val="en-US" w:eastAsia="en-US"/>
        </w:rPr>
        <w:drawing>
          <wp:inline distT="0" distB="0" distL="0" distR="0" wp14:anchorId="1146E48D" wp14:editId="79486CB3">
            <wp:extent cx="5180400" cy="1872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4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3964D" w14:textId="77777777" w:rsidR="00CC6CA5" w:rsidRPr="000449D1" w:rsidRDefault="00CC6CA5" w:rsidP="00CC6CA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14:paraId="2AC23D54" w14:textId="73F49C53" w:rsidR="00862BB3" w:rsidRPr="000449D1" w:rsidRDefault="00732901" w:rsidP="00D5218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0449D1">
        <w:rPr>
          <w:b/>
          <w:sz w:val="20"/>
          <w:szCs w:val="20"/>
          <w:lang w:val="en-US"/>
        </w:rPr>
        <w:t>Fig. 1.</w:t>
      </w:r>
      <w:r w:rsidRPr="000449D1">
        <w:rPr>
          <w:sz w:val="20"/>
          <w:szCs w:val="20"/>
          <w:lang w:val="en-US"/>
        </w:rPr>
        <w:t xml:space="preserve"> </w:t>
      </w:r>
      <w:r w:rsidR="001F1424" w:rsidRPr="000449D1">
        <w:rPr>
          <w:sz w:val="20"/>
          <w:szCs w:val="20"/>
          <w:lang w:val="en-US"/>
        </w:rPr>
        <w:t>Experimental total cross sections for the reactions</w:t>
      </w:r>
      <w:r w:rsidR="001D080F" w:rsidRPr="000449D1">
        <w:rPr>
          <w:sz w:val="20"/>
          <w:szCs w:val="20"/>
          <w:lang w:val="en-US"/>
        </w:rPr>
        <w:t xml:space="preserve"> (a)</w:t>
      </w:r>
      <w:r w:rsidR="001F1424" w:rsidRPr="000449D1">
        <w:rPr>
          <w:sz w:val="20"/>
          <w:szCs w:val="20"/>
          <w:lang w:val="en-US"/>
        </w:rPr>
        <w:t xml:space="preserve"> </w:t>
      </w:r>
      <w:r w:rsidR="001F1424" w:rsidRPr="000449D1">
        <w:rPr>
          <w:sz w:val="20"/>
          <w:szCs w:val="20"/>
          <w:vertAlign w:val="superscript"/>
          <w:lang w:val="en-US"/>
        </w:rPr>
        <w:t>10</w:t>
      </w:r>
      <w:r w:rsidR="001F1424" w:rsidRPr="000449D1">
        <w:rPr>
          <w:sz w:val="20"/>
          <w:szCs w:val="20"/>
          <w:lang w:val="en-US"/>
        </w:rPr>
        <w:t>Be+</w:t>
      </w:r>
      <w:r w:rsidR="001F1424" w:rsidRPr="000449D1">
        <w:rPr>
          <w:sz w:val="20"/>
          <w:szCs w:val="20"/>
          <w:vertAlign w:val="superscript"/>
          <w:lang w:val="en-US"/>
        </w:rPr>
        <w:t>28</w:t>
      </w:r>
      <w:r w:rsidR="001F1424" w:rsidRPr="000449D1">
        <w:rPr>
          <w:sz w:val="20"/>
          <w:szCs w:val="20"/>
          <w:lang w:val="en-US"/>
        </w:rPr>
        <w:t xml:space="preserve">Si: filled </w:t>
      </w:r>
      <w:r w:rsidR="00D52182" w:rsidRPr="000449D1">
        <w:rPr>
          <w:sz w:val="20"/>
          <w:szCs w:val="20"/>
          <w:lang w:val="en-US"/>
        </w:rPr>
        <w:t>circles</w:t>
      </w:r>
      <w:r w:rsidR="001F1424" w:rsidRPr="000449D1">
        <w:rPr>
          <w:sz w:val="20"/>
          <w:szCs w:val="20"/>
          <w:lang w:val="en-US"/>
        </w:rPr>
        <w:t xml:space="preserve"> (this work</w:t>
      </w:r>
      <w:r w:rsidR="001D080F" w:rsidRPr="000449D1">
        <w:rPr>
          <w:sz w:val="20"/>
          <w:szCs w:val="20"/>
          <w:lang w:val="en-US"/>
        </w:rPr>
        <w:t xml:space="preserve"> [</w:t>
      </w:r>
      <w:r w:rsidR="000449D1" w:rsidRPr="000449D1">
        <w:rPr>
          <w:sz w:val="20"/>
          <w:szCs w:val="20"/>
          <w:lang w:val="en-US"/>
        </w:rPr>
        <w:t>3</w:t>
      </w:r>
      <w:r w:rsidR="001D080F" w:rsidRPr="000449D1">
        <w:rPr>
          <w:sz w:val="20"/>
          <w:szCs w:val="20"/>
          <w:lang w:val="en-US"/>
        </w:rPr>
        <w:t>]</w:t>
      </w:r>
      <w:r w:rsidR="001F1424" w:rsidRPr="000449D1">
        <w:rPr>
          <w:sz w:val="20"/>
          <w:szCs w:val="20"/>
          <w:lang w:val="en-US"/>
        </w:rPr>
        <w:t>)</w:t>
      </w:r>
      <w:r w:rsidR="00D52182" w:rsidRPr="000449D1">
        <w:rPr>
          <w:sz w:val="20"/>
          <w:szCs w:val="20"/>
          <w:lang w:val="en-US"/>
        </w:rPr>
        <w:t>,</w:t>
      </w:r>
      <w:r w:rsidR="001F1424" w:rsidRPr="000449D1">
        <w:rPr>
          <w:sz w:val="20"/>
          <w:szCs w:val="20"/>
          <w:lang w:val="en-US"/>
        </w:rPr>
        <w:t xml:space="preserve"> empty squares</w:t>
      </w:r>
      <w:r w:rsidR="00CC6CA5">
        <w:rPr>
          <w:sz w:val="20"/>
          <w:szCs w:val="20"/>
          <w:lang w:val="en-US"/>
        </w:rPr>
        <w:t>*</w:t>
      </w:r>
      <w:r w:rsidR="001F1424" w:rsidRPr="000449D1">
        <w:rPr>
          <w:sz w:val="20"/>
          <w:szCs w:val="20"/>
          <w:lang w:val="en-US"/>
        </w:rPr>
        <w:t>, and pentagons</w:t>
      </w:r>
      <w:r w:rsidR="00CC6CA5">
        <w:rPr>
          <w:sz w:val="20"/>
          <w:szCs w:val="20"/>
          <w:lang w:val="en-US"/>
        </w:rPr>
        <w:t>*</w:t>
      </w:r>
      <w:r w:rsidR="001F1424" w:rsidRPr="000449D1">
        <w:rPr>
          <w:sz w:val="20"/>
          <w:szCs w:val="20"/>
          <w:lang w:val="en-US"/>
        </w:rPr>
        <w:t xml:space="preserve">; </w:t>
      </w:r>
      <w:r w:rsidR="001F1424" w:rsidRPr="000449D1">
        <w:rPr>
          <w:sz w:val="20"/>
          <w:szCs w:val="20"/>
          <w:vertAlign w:val="superscript"/>
          <w:lang w:val="en-US"/>
        </w:rPr>
        <w:t>11</w:t>
      </w:r>
      <w:r w:rsidR="001F1424" w:rsidRPr="000449D1">
        <w:rPr>
          <w:sz w:val="20"/>
          <w:szCs w:val="20"/>
          <w:lang w:val="en-US"/>
        </w:rPr>
        <w:t>Be+</w:t>
      </w:r>
      <w:r w:rsidR="001F1424" w:rsidRPr="000449D1">
        <w:rPr>
          <w:sz w:val="20"/>
          <w:szCs w:val="20"/>
          <w:vertAlign w:val="superscript"/>
          <w:lang w:val="en-US"/>
        </w:rPr>
        <w:t>28</w:t>
      </w:r>
      <w:r w:rsidR="001F1424" w:rsidRPr="000449D1">
        <w:rPr>
          <w:sz w:val="20"/>
          <w:szCs w:val="20"/>
          <w:lang w:val="en-US"/>
        </w:rPr>
        <w:t>Si: filled circles (this work</w:t>
      </w:r>
      <w:r w:rsidR="00D52182" w:rsidRPr="000449D1">
        <w:rPr>
          <w:sz w:val="20"/>
          <w:szCs w:val="20"/>
          <w:lang w:val="en-US"/>
        </w:rPr>
        <w:t xml:space="preserve"> </w:t>
      </w:r>
      <w:r w:rsidR="00D52182" w:rsidRPr="000449D1">
        <w:rPr>
          <w:sz w:val="20"/>
          <w:szCs w:val="20"/>
          <w:lang w:val="en-US"/>
        </w:rPr>
        <w:t>[</w:t>
      </w:r>
      <w:r w:rsidR="000449D1" w:rsidRPr="000449D1">
        <w:rPr>
          <w:sz w:val="20"/>
          <w:szCs w:val="20"/>
          <w:lang w:val="en-US"/>
        </w:rPr>
        <w:t>3</w:t>
      </w:r>
      <w:r w:rsidR="00D52182" w:rsidRPr="000449D1">
        <w:rPr>
          <w:sz w:val="20"/>
          <w:szCs w:val="20"/>
          <w:lang w:val="en-US"/>
        </w:rPr>
        <w:t>]</w:t>
      </w:r>
      <w:r w:rsidR="001F1424" w:rsidRPr="000449D1">
        <w:rPr>
          <w:sz w:val="20"/>
          <w:szCs w:val="20"/>
          <w:lang w:val="en-US"/>
        </w:rPr>
        <w:t>), empty circles</w:t>
      </w:r>
      <w:r w:rsidR="00CC6CA5">
        <w:rPr>
          <w:sz w:val="20"/>
          <w:szCs w:val="20"/>
          <w:lang w:val="en-US"/>
        </w:rPr>
        <w:t>*</w:t>
      </w:r>
      <w:r w:rsidR="001F1424" w:rsidRPr="000449D1">
        <w:rPr>
          <w:sz w:val="20"/>
          <w:szCs w:val="20"/>
          <w:lang w:val="en-US"/>
        </w:rPr>
        <w:t>, and hexagon</w:t>
      </w:r>
      <w:r w:rsidR="00CC6CA5">
        <w:rPr>
          <w:sz w:val="20"/>
          <w:szCs w:val="20"/>
          <w:lang w:val="en-US"/>
        </w:rPr>
        <w:t>*</w:t>
      </w:r>
      <w:r w:rsidR="001F1424" w:rsidRPr="000449D1">
        <w:rPr>
          <w:sz w:val="20"/>
          <w:szCs w:val="20"/>
          <w:lang w:val="en-US"/>
        </w:rPr>
        <w:t xml:space="preserve">; </w:t>
      </w:r>
      <w:r w:rsidR="001F1424" w:rsidRPr="000449D1">
        <w:rPr>
          <w:sz w:val="20"/>
          <w:szCs w:val="20"/>
          <w:vertAlign w:val="superscript"/>
          <w:lang w:val="en-US"/>
        </w:rPr>
        <w:t>11</w:t>
      </w:r>
      <w:r w:rsidR="001F1424" w:rsidRPr="000449D1">
        <w:rPr>
          <w:sz w:val="20"/>
          <w:szCs w:val="20"/>
          <w:lang w:val="en-US"/>
        </w:rPr>
        <w:t>Be+</w:t>
      </w:r>
      <w:r w:rsidR="001F1424" w:rsidRPr="000449D1">
        <w:rPr>
          <w:sz w:val="20"/>
          <w:szCs w:val="20"/>
          <w:vertAlign w:val="superscript"/>
          <w:lang w:val="en-US"/>
        </w:rPr>
        <w:t>27</w:t>
      </w:r>
      <w:r w:rsidR="001F1424" w:rsidRPr="000449D1">
        <w:rPr>
          <w:sz w:val="20"/>
          <w:szCs w:val="20"/>
          <w:lang w:val="en-US"/>
        </w:rPr>
        <w:t>Al: star</w:t>
      </w:r>
      <w:r w:rsidR="00CC6CA5">
        <w:rPr>
          <w:sz w:val="20"/>
          <w:szCs w:val="20"/>
          <w:lang w:val="en-US"/>
        </w:rPr>
        <w:t>*</w:t>
      </w:r>
      <w:r w:rsidR="00D52182" w:rsidRPr="000449D1">
        <w:rPr>
          <w:sz w:val="20"/>
          <w:szCs w:val="20"/>
          <w:lang w:val="en-US"/>
        </w:rPr>
        <w:t xml:space="preserve">; (b) </w:t>
      </w:r>
      <w:r w:rsidR="00D52182" w:rsidRPr="000449D1">
        <w:rPr>
          <w:sz w:val="20"/>
          <w:szCs w:val="20"/>
          <w:vertAlign w:val="superscript"/>
          <w:lang w:val="en-US"/>
        </w:rPr>
        <w:t>12</w:t>
      </w:r>
      <w:r w:rsidR="00D52182" w:rsidRPr="000449D1">
        <w:rPr>
          <w:sz w:val="20"/>
          <w:szCs w:val="20"/>
          <w:lang w:val="en-US"/>
        </w:rPr>
        <w:t>Be+</w:t>
      </w:r>
      <w:r w:rsidR="00D52182" w:rsidRPr="000449D1">
        <w:rPr>
          <w:sz w:val="20"/>
          <w:szCs w:val="20"/>
          <w:vertAlign w:val="superscript"/>
          <w:lang w:val="en-US"/>
        </w:rPr>
        <w:t>28</w:t>
      </w:r>
      <w:r w:rsidR="00D52182" w:rsidRPr="000449D1">
        <w:rPr>
          <w:sz w:val="20"/>
          <w:szCs w:val="20"/>
          <w:lang w:val="en-US"/>
        </w:rPr>
        <w:t>Si: filled triangles (this work</w:t>
      </w:r>
      <w:r w:rsidR="00D52182" w:rsidRPr="000449D1">
        <w:rPr>
          <w:sz w:val="20"/>
          <w:szCs w:val="20"/>
          <w:lang w:val="en-US"/>
        </w:rPr>
        <w:t xml:space="preserve"> </w:t>
      </w:r>
      <w:r w:rsidR="00D52182" w:rsidRPr="000449D1">
        <w:rPr>
          <w:sz w:val="20"/>
          <w:szCs w:val="20"/>
          <w:lang w:val="en-US"/>
        </w:rPr>
        <w:t>[</w:t>
      </w:r>
      <w:r w:rsidR="000449D1" w:rsidRPr="000449D1">
        <w:rPr>
          <w:sz w:val="20"/>
          <w:szCs w:val="20"/>
          <w:lang w:val="en-US"/>
        </w:rPr>
        <w:t>3</w:t>
      </w:r>
      <w:r w:rsidR="00D52182" w:rsidRPr="000449D1">
        <w:rPr>
          <w:sz w:val="20"/>
          <w:szCs w:val="20"/>
          <w:lang w:val="en-US"/>
        </w:rPr>
        <w:t>]), empty triangle up</w:t>
      </w:r>
      <w:r w:rsidR="00CC6CA5">
        <w:rPr>
          <w:sz w:val="20"/>
          <w:szCs w:val="20"/>
          <w:lang w:val="en-US"/>
        </w:rPr>
        <w:t>*</w:t>
      </w:r>
      <w:r w:rsidR="00D52182" w:rsidRPr="000449D1">
        <w:rPr>
          <w:sz w:val="20"/>
          <w:szCs w:val="20"/>
          <w:lang w:val="en-US"/>
        </w:rPr>
        <w:t>, and empty triangles down</w:t>
      </w:r>
      <w:r w:rsidR="00CC6CA5">
        <w:rPr>
          <w:sz w:val="20"/>
          <w:szCs w:val="20"/>
          <w:lang w:val="en-US"/>
        </w:rPr>
        <w:t>*</w:t>
      </w:r>
      <w:r w:rsidR="00D52182" w:rsidRPr="000449D1">
        <w:rPr>
          <w:sz w:val="20"/>
          <w:szCs w:val="20"/>
          <w:lang w:val="en-US"/>
        </w:rPr>
        <w:t xml:space="preserve">; </w:t>
      </w:r>
      <w:r w:rsidR="00D52182" w:rsidRPr="000449D1">
        <w:rPr>
          <w:sz w:val="20"/>
          <w:szCs w:val="20"/>
          <w:vertAlign w:val="superscript"/>
          <w:lang w:val="en-US"/>
        </w:rPr>
        <w:t>14</w:t>
      </w:r>
      <w:r w:rsidR="00D52182" w:rsidRPr="000449D1">
        <w:rPr>
          <w:sz w:val="20"/>
          <w:szCs w:val="20"/>
          <w:lang w:val="en-US"/>
        </w:rPr>
        <w:t>B+</w:t>
      </w:r>
      <w:r w:rsidR="00D52182" w:rsidRPr="000449D1">
        <w:rPr>
          <w:sz w:val="20"/>
          <w:szCs w:val="20"/>
          <w:vertAlign w:val="superscript"/>
          <w:lang w:val="en-US"/>
        </w:rPr>
        <w:t>28</w:t>
      </w:r>
      <w:r w:rsidR="00D52182" w:rsidRPr="000449D1">
        <w:rPr>
          <w:sz w:val="20"/>
          <w:szCs w:val="20"/>
          <w:lang w:val="en-US"/>
        </w:rPr>
        <w:t>Si: filled pentagon (this work</w:t>
      </w:r>
      <w:r w:rsidR="00D52182" w:rsidRPr="000449D1">
        <w:rPr>
          <w:sz w:val="20"/>
          <w:szCs w:val="20"/>
          <w:lang w:val="en-US"/>
        </w:rPr>
        <w:t xml:space="preserve"> </w:t>
      </w:r>
      <w:r w:rsidR="00D52182" w:rsidRPr="000449D1">
        <w:rPr>
          <w:sz w:val="20"/>
          <w:szCs w:val="20"/>
          <w:lang w:val="en-US"/>
        </w:rPr>
        <w:t>[</w:t>
      </w:r>
      <w:r w:rsidR="000449D1" w:rsidRPr="000449D1">
        <w:rPr>
          <w:sz w:val="20"/>
          <w:szCs w:val="20"/>
          <w:lang w:val="en-US"/>
        </w:rPr>
        <w:t>3</w:t>
      </w:r>
      <w:r w:rsidR="00D52182" w:rsidRPr="000449D1">
        <w:rPr>
          <w:sz w:val="20"/>
          <w:szCs w:val="20"/>
          <w:lang w:val="en-US"/>
        </w:rPr>
        <w:t>]) and empty pentagons</w:t>
      </w:r>
      <w:r w:rsidR="00CC6CA5">
        <w:rPr>
          <w:sz w:val="20"/>
          <w:szCs w:val="20"/>
          <w:lang w:val="en-US"/>
        </w:rPr>
        <w:t>*</w:t>
      </w:r>
      <w:r w:rsidR="00D52182" w:rsidRPr="000449D1">
        <w:rPr>
          <w:sz w:val="20"/>
          <w:szCs w:val="20"/>
          <w:lang w:val="en-US"/>
        </w:rPr>
        <w:t xml:space="preserve">; </w:t>
      </w:r>
      <w:r w:rsidR="00D52182" w:rsidRPr="000449D1">
        <w:rPr>
          <w:sz w:val="20"/>
          <w:szCs w:val="20"/>
          <w:vertAlign w:val="superscript"/>
          <w:lang w:val="en-US"/>
        </w:rPr>
        <w:t>14</w:t>
      </w:r>
      <w:r w:rsidR="00D52182" w:rsidRPr="000449D1">
        <w:rPr>
          <w:sz w:val="20"/>
          <w:szCs w:val="20"/>
          <w:lang w:val="en-US"/>
        </w:rPr>
        <w:t>B+</w:t>
      </w:r>
      <w:r w:rsidR="00D52182" w:rsidRPr="000449D1">
        <w:rPr>
          <w:sz w:val="20"/>
          <w:szCs w:val="20"/>
          <w:vertAlign w:val="superscript"/>
          <w:lang w:val="en-US"/>
        </w:rPr>
        <w:t>27</w:t>
      </w:r>
      <w:r w:rsidR="00D52182" w:rsidRPr="000449D1">
        <w:rPr>
          <w:sz w:val="20"/>
          <w:szCs w:val="20"/>
          <w:lang w:val="en-US"/>
        </w:rPr>
        <w:t>Al: crossed pentagons</w:t>
      </w:r>
      <w:r w:rsidR="00CC6CA5">
        <w:rPr>
          <w:sz w:val="20"/>
          <w:szCs w:val="20"/>
          <w:lang w:val="en-US"/>
        </w:rPr>
        <w:t>*</w:t>
      </w:r>
      <w:r w:rsidR="00D52182" w:rsidRPr="000449D1">
        <w:rPr>
          <w:sz w:val="20"/>
          <w:szCs w:val="20"/>
          <w:lang w:val="en-US"/>
        </w:rPr>
        <w:t>.</w:t>
      </w:r>
      <w:r w:rsidR="00D52182" w:rsidRPr="000449D1">
        <w:rPr>
          <w:sz w:val="20"/>
          <w:szCs w:val="20"/>
          <w:lang w:val="en-US"/>
        </w:rPr>
        <w:t xml:space="preserve"> </w:t>
      </w:r>
      <w:r w:rsidR="00CC6CA5">
        <w:rPr>
          <w:sz w:val="20"/>
          <w:szCs w:val="20"/>
          <w:lang w:val="en-US"/>
        </w:rPr>
        <w:t>C</w:t>
      </w:r>
      <w:r w:rsidR="00D52182" w:rsidRPr="000449D1">
        <w:rPr>
          <w:sz w:val="20"/>
          <w:szCs w:val="20"/>
          <w:lang w:val="en-US"/>
        </w:rPr>
        <w:t xml:space="preserve">urves </w:t>
      </w:r>
      <w:r w:rsidR="00D52182" w:rsidRPr="000449D1">
        <w:rPr>
          <w:sz w:val="20"/>
          <w:szCs w:val="20"/>
          <w:lang w:val="en-US"/>
        </w:rPr>
        <w:t>of the corresponding color</w:t>
      </w:r>
      <w:r w:rsidR="00D52182" w:rsidRPr="000449D1">
        <w:rPr>
          <w:sz w:val="20"/>
          <w:szCs w:val="20"/>
          <w:lang w:val="en-US"/>
        </w:rPr>
        <w:t xml:space="preserve"> are</w:t>
      </w:r>
      <w:r w:rsidR="00D52182" w:rsidRPr="000449D1">
        <w:rPr>
          <w:sz w:val="20"/>
          <w:szCs w:val="20"/>
          <w:lang w:val="en-US"/>
        </w:rPr>
        <w:t xml:space="preserve"> the </w:t>
      </w:r>
      <w:r w:rsidR="00D52182" w:rsidRPr="000449D1">
        <w:rPr>
          <w:sz w:val="20"/>
          <w:szCs w:val="20"/>
          <w:lang w:val="en-US"/>
        </w:rPr>
        <w:t xml:space="preserve">result of the </w:t>
      </w:r>
      <w:r w:rsidR="00D52182" w:rsidRPr="000449D1">
        <w:rPr>
          <w:sz w:val="20"/>
          <w:szCs w:val="20"/>
          <w:lang w:val="en-US"/>
        </w:rPr>
        <w:t>empirical Kox parametrization [</w:t>
      </w:r>
      <w:r w:rsidR="000449D1" w:rsidRPr="000449D1">
        <w:rPr>
          <w:sz w:val="20"/>
          <w:szCs w:val="20"/>
          <w:lang w:val="en-US"/>
        </w:rPr>
        <w:t>4</w:t>
      </w:r>
      <w:r w:rsidR="00D52182" w:rsidRPr="000449D1">
        <w:rPr>
          <w:sz w:val="20"/>
          <w:szCs w:val="20"/>
          <w:lang w:val="en-US"/>
        </w:rPr>
        <w:t>]</w:t>
      </w:r>
      <w:r w:rsidR="00D52182" w:rsidRPr="000449D1">
        <w:rPr>
          <w:sz w:val="20"/>
          <w:szCs w:val="20"/>
          <w:lang w:val="en-US"/>
        </w:rPr>
        <w:t>.</w:t>
      </w:r>
      <w:r w:rsidR="00CC6CA5" w:rsidRPr="00CC6CA5">
        <w:rPr>
          <w:sz w:val="20"/>
          <w:szCs w:val="20"/>
          <w:lang w:val="en-US"/>
        </w:rPr>
        <w:t xml:space="preserve"> </w:t>
      </w:r>
      <w:r w:rsidR="00CC6CA5">
        <w:rPr>
          <w:sz w:val="20"/>
          <w:szCs w:val="20"/>
          <w:lang w:val="en-US"/>
        </w:rPr>
        <w:t>*</w:t>
      </w:r>
      <w:r w:rsidR="00CC6CA5" w:rsidRPr="000449D1">
        <w:rPr>
          <w:sz w:val="20"/>
          <w:szCs w:val="20"/>
          <w:lang w:val="en-US"/>
        </w:rPr>
        <w:t>Ref</w:t>
      </w:r>
      <w:r w:rsidR="00CC6CA5">
        <w:rPr>
          <w:sz w:val="20"/>
          <w:szCs w:val="20"/>
          <w:lang w:val="en-US"/>
        </w:rPr>
        <w:t>erences to these works</w:t>
      </w:r>
      <w:r w:rsidR="00CC6CA5" w:rsidRPr="000449D1">
        <w:rPr>
          <w:sz w:val="20"/>
          <w:szCs w:val="20"/>
          <w:lang w:val="en-US"/>
        </w:rPr>
        <w:t xml:space="preserve"> are given in [3</w:t>
      </w:r>
      <w:r w:rsidR="00CC6CA5">
        <w:rPr>
          <w:sz w:val="20"/>
          <w:szCs w:val="20"/>
          <w:lang w:val="en-US"/>
        </w:rPr>
        <w:t>].</w:t>
      </w:r>
    </w:p>
    <w:p w14:paraId="78B7905C" w14:textId="77777777" w:rsidR="00862BB3" w:rsidRDefault="00862BB3" w:rsidP="00862BB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27A29447" w14:textId="141BF601" w:rsidR="00CC6CA5" w:rsidRDefault="00CC6CA5" w:rsidP="00CC6CA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CC6CA5">
        <w:rPr>
          <w:sz w:val="20"/>
          <w:szCs w:val="20"/>
          <w:lang w:val="en-US"/>
        </w:rPr>
        <w:t>The work was supported by the Russian</w:t>
      </w:r>
      <w:r>
        <w:rPr>
          <w:sz w:val="20"/>
          <w:szCs w:val="20"/>
          <w:lang w:val="en-US"/>
        </w:rPr>
        <w:t xml:space="preserve"> </w:t>
      </w:r>
      <w:r w:rsidRPr="00CC6CA5">
        <w:rPr>
          <w:sz w:val="20"/>
          <w:szCs w:val="20"/>
          <w:lang w:val="en-US"/>
        </w:rPr>
        <w:t>Science Foundation, Grant No. 24-22-00117.</w:t>
      </w:r>
    </w:p>
    <w:p w14:paraId="231F338C" w14:textId="77777777" w:rsidR="00CC6CA5" w:rsidRPr="000449D1" w:rsidRDefault="00CC6CA5" w:rsidP="00862BB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463F227C" w14:textId="352A1940" w:rsidR="00862BB3" w:rsidRPr="000449D1" w:rsidRDefault="00862BB3" w:rsidP="00862BB3">
      <w:pPr>
        <w:widowControl w:val="0"/>
        <w:autoSpaceDE w:val="0"/>
        <w:autoSpaceDN w:val="0"/>
        <w:adjustRightInd w:val="0"/>
        <w:rPr>
          <w:b/>
          <w:sz w:val="20"/>
          <w:szCs w:val="20"/>
          <w:lang w:val="en-US"/>
        </w:rPr>
      </w:pPr>
      <w:r w:rsidRPr="000449D1">
        <w:rPr>
          <w:b/>
          <w:sz w:val="20"/>
          <w:szCs w:val="20"/>
          <w:lang w:val="en-US"/>
        </w:rPr>
        <w:t>References</w:t>
      </w:r>
    </w:p>
    <w:p w14:paraId="6647AC24" w14:textId="77777777" w:rsidR="00862BB3" w:rsidRPr="000449D1" w:rsidRDefault="00862BB3" w:rsidP="00862BB3">
      <w:pPr>
        <w:widowControl w:val="0"/>
        <w:autoSpaceDE w:val="0"/>
        <w:autoSpaceDN w:val="0"/>
        <w:adjustRightInd w:val="0"/>
        <w:rPr>
          <w:b/>
          <w:sz w:val="20"/>
          <w:szCs w:val="20"/>
          <w:lang w:val="en-US"/>
        </w:rPr>
      </w:pPr>
    </w:p>
    <w:p w14:paraId="11D3970C" w14:textId="77777777" w:rsidR="0078477C" w:rsidRPr="000449D1" w:rsidRDefault="0078477C" w:rsidP="0078477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3" w:hanging="113"/>
        <w:jc w:val="both"/>
        <w:rPr>
          <w:rFonts w:eastAsia="CMR9"/>
          <w:sz w:val="20"/>
          <w:szCs w:val="20"/>
          <w:lang w:eastAsia="en-US"/>
        </w:rPr>
      </w:pPr>
      <w:r w:rsidRPr="000449D1">
        <w:rPr>
          <w:rFonts w:eastAsia="CMR9"/>
          <w:sz w:val="20"/>
          <w:szCs w:val="20"/>
          <w:lang w:eastAsia="en-US"/>
        </w:rPr>
        <w:t>Yu.</w:t>
      </w:r>
      <w:r w:rsidRPr="000449D1">
        <w:rPr>
          <w:rFonts w:eastAsia="CMR9"/>
          <w:sz w:val="20"/>
          <w:szCs w:val="20"/>
          <w:lang w:val="en-US" w:eastAsia="en-US"/>
        </w:rPr>
        <w:t> </w:t>
      </w:r>
      <w:r w:rsidRPr="000449D1">
        <w:rPr>
          <w:rFonts w:eastAsia="CMR9"/>
          <w:sz w:val="20"/>
          <w:szCs w:val="20"/>
          <w:lang w:eastAsia="en-US"/>
        </w:rPr>
        <w:t>E.</w:t>
      </w:r>
      <w:r w:rsidRPr="000449D1">
        <w:rPr>
          <w:rFonts w:eastAsia="CMR9"/>
          <w:sz w:val="20"/>
          <w:szCs w:val="20"/>
          <w:lang w:val="en-US" w:eastAsia="en-US"/>
        </w:rPr>
        <w:t> </w:t>
      </w:r>
      <w:r w:rsidRPr="000449D1">
        <w:rPr>
          <w:rFonts w:eastAsia="CMR9"/>
          <w:sz w:val="20"/>
          <w:szCs w:val="20"/>
          <w:lang w:eastAsia="en-US"/>
        </w:rPr>
        <w:t xml:space="preserve">Penionzhkevich, Phys. At. Nucl. </w:t>
      </w:r>
      <w:r w:rsidRPr="000449D1">
        <w:rPr>
          <w:rFonts w:eastAsia="CMR9"/>
          <w:b/>
          <w:sz w:val="20"/>
          <w:szCs w:val="20"/>
          <w:lang w:eastAsia="en-US"/>
        </w:rPr>
        <w:t>74</w:t>
      </w:r>
      <w:r w:rsidRPr="000449D1">
        <w:rPr>
          <w:rFonts w:eastAsia="CMR9"/>
          <w:sz w:val="20"/>
          <w:szCs w:val="20"/>
          <w:lang w:eastAsia="en-US"/>
        </w:rPr>
        <w:t>, 1615 (2011).</w:t>
      </w:r>
    </w:p>
    <w:p w14:paraId="7D566C24" w14:textId="77777777" w:rsidR="0078477C" w:rsidRPr="000449D1" w:rsidRDefault="0078477C" w:rsidP="0078477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3" w:hanging="113"/>
        <w:jc w:val="both"/>
        <w:rPr>
          <w:rFonts w:eastAsia="CMR9"/>
          <w:sz w:val="20"/>
          <w:szCs w:val="20"/>
          <w:lang w:val="en-US" w:eastAsia="en-US"/>
        </w:rPr>
      </w:pPr>
      <w:r w:rsidRPr="000449D1">
        <w:rPr>
          <w:rFonts w:eastAsia="CMR9"/>
          <w:sz w:val="20"/>
          <w:szCs w:val="20"/>
          <w:lang w:val="en-US" w:eastAsia="en-US"/>
        </w:rPr>
        <w:t xml:space="preserve">Yu. E. Penionzhkevich and R. G. Kalpakchieva, </w:t>
      </w:r>
      <w:r w:rsidRPr="000449D1">
        <w:rPr>
          <w:rFonts w:eastAsia="CMR9"/>
          <w:i/>
          <w:iCs/>
          <w:sz w:val="20"/>
          <w:szCs w:val="20"/>
          <w:lang w:val="en-US" w:eastAsia="en-US"/>
        </w:rPr>
        <w:t xml:space="preserve">Light Exotic Nuclei Near the Boundary of Neutron Stability </w:t>
      </w:r>
      <w:r w:rsidRPr="000449D1">
        <w:rPr>
          <w:rFonts w:eastAsia="CMR9"/>
          <w:sz w:val="20"/>
          <w:szCs w:val="20"/>
          <w:lang w:val="en-US" w:eastAsia="en-US"/>
        </w:rPr>
        <w:t>(World Scientific, Singapore, 2021).</w:t>
      </w:r>
    </w:p>
    <w:p w14:paraId="0A3216B3" w14:textId="46B50FF1" w:rsidR="00732901" w:rsidRPr="000449D1" w:rsidRDefault="00732901" w:rsidP="00B167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3" w:hanging="113"/>
        <w:rPr>
          <w:sz w:val="20"/>
          <w:szCs w:val="20"/>
          <w:lang w:val="en-US"/>
        </w:rPr>
      </w:pPr>
      <w:r w:rsidRPr="000449D1">
        <w:rPr>
          <w:sz w:val="20"/>
          <w:szCs w:val="20"/>
          <w:lang w:val="en-US"/>
        </w:rPr>
        <w:t>Yu.</w:t>
      </w:r>
      <w:r w:rsidR="001D080F"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G.</w:t>
      </w:r>
      <w:r w:rsidR="001D080F"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Sobolev, V.</w:t>
      </w:r>
      <w:r w:rsidR="001D080F"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V.</w:t>
      </w:r>
      <w:r w:rsidR="001D080F"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Samarin, Yu.</w:t>
      </w:r>
      <w:r w:rsidR="001D080F"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E.</w:t>
      </w:r>
      <w:r w:rsidR="001D080F"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Penionzhkevich, S.</w:t>
      </w:r>
      <w:r w:rsidR="001D080F"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S.</w:t>
      </w:r>
      <w:r w:rsidR="001D080F"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 xml:space="preserve">Stukalov, </w:t>
      </w:r>
      <w:r w:rsidR="001D080F" w:rsidRPr="000449D1">
        <w:rPr>
          <w:rFonts w:eastAsia="CMR9"/>
          <w:sz w:val="20"/>
          <w:szCs w:val="20"/>
          <w:lang w:val="en-US" w:eastAsia="en-US"/>
        </w:rPr>
        <w:t xml:space="preserve">and </w:t>
      </w:r>
      <w:r w:rsidRPr="000449D1">
        <w:rPr>
          <w:sz w:val="20"/>
          <w:szCs w:val="20"/>
          <w:lang w:val="en-US"/>
        </w:rPr>
        <w:t>M.</w:t>
      </w:r>
      <w:r w:rsidR="001D080F"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A.</w:t>
      </w:r>
      <w:r w:rsidR="001D080F"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 xml:space="preserve">Naumenko, Phys. Rev. C </w:t>
      </w:r>
      <w:r w:rsidRPr="000449D1">
        <w:rPr>
          <w:b/>
          <w:sz w:val="20"/>
          <w:szCs w:val="20"/>
          <w:lang w:val="en-US"/>
        </w:rPr>
        <w:t>110</w:t>
      </w:r>
      <w:r w:rsidRPr="000449D1">
        <w:rPr>
          <w:sz w:val="20"/>
          <w:szCs w:val="20"/>
          <w:lang w:val="en-US"/>
        </w:rPr>
        <w:t>, 014609 (2024).</w:t>
      </w:r>
    </w:p>
    <w:p w14:paraId="0FB3705A" w14:textId="245DF6F1" w:rsidR="00D52182" w:rsidRPr="000449D1" w:rsidRDefault="00D52182" w:rsidP="00B167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3" w:hanging="113"/>
        <w:rPr>
          <w:sz w:val="20"/>
          <w:szCs w:val="20"/>
          <w:lang w:val="en-US"/>
        </w:rPr>
      </w:pPr>
      <w:r w:rsidRPr="000449D1">
        <w:rPr>
          <w:sz w:val="20"/>
          <w:szCs w:val="20"/>
          <w:lang w:val="en-US"/>
        </w:rPr>
        <w:t>S.</w:t>
      </w:r>
      <w:r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Kox, A.</w:t>
      </w:r>
      <w:r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Gamp, R</w:t>
      </w:r>
      <w:r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Cherkaoui, A.</w:t>
      </w:r>
      <w:r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J.</w:t>
      </w:r>
      <w:r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Cole, L.</w:t>
      </w:r>
      <w:r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Longequeue,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J.</w:t>
      </w:r>
      <w:r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Menet, C.</w:t>
      </w:r>
      <w:r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Perrin, and J.</w:t>
      </w:r>
      <w:r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>B.</w:t>
      </w:r>
      <w:r w:rsidRPr="000449D1">
        <w:rPr>
          <w:sz w:val="20"/>
          <w:szCs w:val="20"/>
          <w:lang w:val="en-US"/>
        </w:rPr>
        <w:t> </w:t>
      </w:r>
      <w:r w:rsidRPr="000449D1">
        <w:rPr>
          <w:sz w:val="20"/>
          <w:szCs w:val="20"/>
          <w:lang w:val="en-US"/>
        </w:rPr>
        <w:t xml:space="preserve">Viano, Nucl. Phys. A </w:t>
      </w:r>
      <w:r w:rsidRPr="000449D1">
        <w:rPr>
          <w:b/>
          <w:sz w:val="20"/>
          <w:szCs w:val="20"/>
          <w:lang w:val="en-US"/>
        </w:rPr>
        <w:t>420</w:t>
      </w:r>
      <w:r w:rsidRPr="000449D1">
        <w:rPr>
          <w:sz w:val="20"/>
          <w:szCs w:val="20"/>
          <w:lang w:val="en-US"/>
        </w:rPr>
        <w:t>, 162</w:t>
      </w:r>
      <w:r w:rsidRPr="000449D1">
        <w:rPr>
          <w:sz w:val="20"/>
          <w:szCs w:val="20"/>
          <w:lang w:val="en-US"/>
        </w:rPr>
        <w:t xml:space="preserve"> </w:t>
      </w:r>
      <w:r w:rsidRPr="000449D1">
        <w:rPr>
          <w:sz w:val="20"/>
          <w:szCs w:val="20"/>
          <w:lang w:val="en-US"/>
        </w:rPr>
        <w:t>(1984).</w:t>
      </w:r>
    </w:p>
    <w:sectPr w:rsidR="00D52182" w:rsidRPr="000449D1" w:rsidSect="00C05584">
      <w:pgSz w:w="11907" w:h="16840" w:code="9"/>
      <w:pgMar w:top="1418" w:right="85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2B1A2" w14:textId="77777777" w:rsidR="00AC6AD2" w:rsidRDefault="00AC6AD2" w:rsidP="004061C2">
      <w:r>
        <w:separator/>
      </w:r>
    </w:p>
  </w:endnote>
  <w:endnote w:type="continuationSeparator" w:id="0">
    <w:p w14:paraId="6E3AD6EF" w14:textId="77777777" w:rsidR="00AC6AD2" w:rsidRDefault="00AC6AD2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MR9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2047C" w14:textId="77777777" w:rsidR="00AC6AD2" w:rsidRDefault="00AC6AD2" w:rsidP="004061C2">
      <w:r>
        <w:separator/>
      </w:r>
    </w:p>
  </w:footnote>
  <w:footnote w:type="continuationSeparator" w:id="0">
    <w:p w14:paraId="6C40FA7B" w14:textId="77777777" w:rsidR="00AC6AD2" w:rsidRDefault="00AC6AD2" w:rsidP="0040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283"/>
    <w:multiLevelType w:val="hybridMultilevel"/>
    <w:tmpl w:val="020E10CE"/>
    <w:lvl w:ilvl="0" w:tplc="EE56E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85F11"/>
    <w:multiLevelType w:val="hybridMultilevel"/>
    <w:tmpl w:val="87820EFC"/>
    <w:lvl w:ilvl="0" w:tplc="5E9E4C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31A8A"/>
    <w:multiLevelType w:val="hybridMultilevel"/>
    <w:tmpl w:val="74D8DE18"/>
    <w:lvl w:ilvl="0" w:tplc="BE08B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031B7"/>
    <w:rsid w:val="000449D1"/>
    <w:rsid w:val="00061915"/>
    <w:rsid w:val="00074B75"/>
    <w:rsid w:val="00077BC8"/>
    <w:rsid w:val="000A3381"/>
    <w:rsid w:val="000B4C48"/>
    <w:rsid w:val="000E7C4E"/>
    <w:rsid w:val="00136098"/>
    <w:rsid w:val="00184AB8"/>
    <w:rsid w:val="001A39D1"/>
    <w:rsid w:val="001A5560"/>
    <w:rsid w:val="001A7891"/>
    <w:rsid w:val="001C7924"/>
    <w:rsid w:val="001D080F"/>
    <w:rsid w:val="001D482A"/>
    <w:rsid w:val="001F1424"/>
    <w:rsid w:val="002150C3"/>
    <w:rsid w:val="00296D03"/>
    <w:rsid w:val="002A15E7"/>
    <w:rsid w:val="003468B3"/>
    <w:rsid w:val="003A4FBF"/>
    <w:rsid w:val="0040248D"/>
    <w:rsid w:val="004061C2"/>
    <w:rsid w:val="00476823"/>
    <w:rsid w:val="004853C9"/>
    <w:rsid w:val="00490684"/>
    <w:rsid w:val="004E459E"/>
    <w:rsid w:val="004E661F"/>
    <w:rsid w:val="00523263"/>
    <w:rsid w:val="00556CC0"/>
    <w:rsid w:val="00570033"/>
    <w:rsid w:val="00582A62"/>
    <w:rsid w:val="005840C4"/>
    <w:rsid w:val="005A1D51"/>
    <w:rsid w:val="005A4F81"/>
    <w:rsid w:val="0069441B"/>
    <w:rsid w:val="00696288"/>
    <w:rsid w:val="006B0359"/>
    <w:rsid w:val="006C3509"/>
    <w:rsid w:val="00732901"/>
    <w:rsid w:val="00781DEC"/>
    <w:rsid w:val="0078477C"/>
    <w:rsid w:val="007B07AF"/>
    <w:rsid w:val="007B3E28"/>
    <w:rsid w:val="007E7481"/>
    <w:rsid w:val="00810C4A"/>
    <w:rsid w:val="00862BB3"/>
    <w:rsid w:val="0088724F"/>
    <w:rsid w:val="008F7BD7"/>
    <w:rsid w:val="008F7F55"/>
    <w:rsid w:val="009067A0"/>
    <w:rsid w:val="00906CAF"/>
    <w:rsid w:val="00924D40"/>
    <w:rsid w:val="00924FE6"/>
    <w:rsid w:val="00935897"/>
    <w:rsid w:val="009C7977"/>
    <w:rsid w:val="009E098D"/>
    <w:rsid w:val="009E2738"/>
    <w:rsid w:val="009E2B62"/>
    <w:rsid w:val="009E4D25"/>
    <w:rsid w:val="00A23E5C"/>
    <w:rsid w:val="00A5627E"/>
    <w:rsid w:val="00AA265C"/>
    <w:rsid w:val="00AC6AD2"/>
    <w:rsid w:val="00AD5D1A"/>
    <w:rsid w:val="00B167C4"/>
    <w:rsid w:val="00B216C8"/>
    <w:rsid w:val="00B21B51"/>
    <w:rsid w:val="00B4673C"/>
    <w:rsid w:val="00B85D15"/>
    <w:rsid w:val="00BE3BD5"/>
    <w:rsid w:val="00C05584"/>
    <w:rsid w:val="00C2635E"/>
    <w:rsid w:val="00C35A4C"/>
    <w:rsid w:val="00C370D7"/>
    <w:rsid w:val="00C463DB"/>
    <w:rsid w:val="00C47E0A"/>
    <w:rsid w:val="00C575B6"/>
    <w:rsid w:val="00C775A5"/>
    <w:rsid w:val="00CC6CA5"/>
    <w:rsid w:val="00CC7E21"/>
    <w:rsid w:val="00CD773E"/>
    <w:rsid w:val="00D034ED"/>
    <w:rsid w:val="00D077E6"/>
    <w:rsid w:val="00D52182"/>
    <w:rsid w:val="00D8568F"/>
    <w:rsid w:val="00D9628D"/>
    <w:rsid w:val="00DA3ACA"/>
    <w:rsid w:val="00DA6E63"/>
    <w:rsid w:val="00DD178D"/>
    <w:rsid w:val="00DD5DC6"/>
    <w:rsid w:val="00DF617F"/>
    <w:rsid w:val="00E13B3D"/>
    <w:rsid w:val="00E5401A"/>
    <w:rsid w:val="00E6721D"/>
    <w:rsid w:val="00EB134A"/>
    <w:rsid w:val="00E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1C2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1C2"/>
    <w:rPr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C0"/>
    <w:rPr>
      <w:rFonts w:ascii="Segoe UI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locked/>
    <w:rsid w:val="0090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2024-07-29T12:30:00Z</dcterms:created>
  <dcterms:modified xsi:type="dcterms:W3CDTF">2024-07-29T12:33:00Z</dcterms:modified>
</cp:coreProperties>
</file>